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胶州市医疗保障局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880" w:firstLineChars="200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根据《中华人民共和国政府信息公开条例》（以下简称新《条例》），特向社会公布胶州市医疗保障局2022年度政府信息公开工作年度报告。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报告由主动公开政府信息情况、依申请公开政府信息情况、政府信息管理、平台建设、监督保障、存在的问题及改进情况等部分组成。起止时间为2022年1月1日至2022年12月31日。如对本报告有任何疑问，请与胶州市医疗保障局联系(地址：胶州市北京路2号行政服务中心西楼主楼929室，电话：0532-82232990，邮编：266300)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一、总体情况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年，市医疗保障局按照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《条例》精神和省、市工作部署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，严格执行政府信息公开条例及相关配套制度，坚持以公开为常态、不公开为例外，切实加</w:t>
      </w:r>
      <w:r>
        <w:rPr>
          <w:rFonts w:hint="eastAsia" w:eastAsia="仿宋_GB2312"/>
          <w:color w:val="000000"/>
          <w:sz w:val="32"/>
          <w:szCs w:val="32"/>
        </w:rPr>
        <w:t>强组织领导，建立健全工作机制，依法推进政府信息公开，及时准确回应群众关切，切实保障人民群众的知情权和监督权，努力提高政务服务工作水平。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629920</wp:posOffset>
            </wp:positionH>
            <wp:positionV relativeFrom="paragraph">
              <wp:posOffset>151130</wp:posOffset>
            </wp:positionV>
            <wp:extent cx="4311650" cy="2510790"/>
            <wp:effectExtent l="0" t="0" r="12700" b="3810"/>
            <wp:wrapNone/>
            <wp:docPr id="1" name="图片 1" descr="大厅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大厅照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165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主动公开政府信息情况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年，我局主动公开政府信息累计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430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条，其中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胶州政务网</w:t>
      </w:r>
      <w:r>
        <w:rPr>
          <w:rFonts w:hint="eastAsia" w:ascii="仿宋_GB2312" w:hAnsi="仿宋_GB2312" w:eastAsia="仿宋_GB2312" w:cs="仿宋_GB2312"/>
          <w:sz w:val="32"/>
          <w:szCs w:val="32"/>
        </w:rPr>
        <w:t>平台发布信息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383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条，财政预决算平台信息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条，政府信息公开完成率达到100%。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依申请公开情况</w:t>
      </w:r>
    </w:p>
    <w:p>
      <w:pPr>
        <w:snapToGrid w:val="0"/>
        <w:spacing w:line="56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全年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未</w:t>
      </w:r>
      <w:r>
        <w:rPr>
          <w:rFonts w:hint="eastAsia" w:eastAsia="仿宋_GB2312"/>
          <w:color w:val="000000"/>
          <w:sz w:val="32"/>
          <w:szCs w:val="32"/>
        </w:rPr>
        <w:t>收到依申请公开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事项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公布行政许可信息0条，行政处罚信息0条；</w:t>
      </w:r>
      <w:r>
        <w:rPr>
          <w:rFonts w:hint="eastAsia" w:eastAsia="仿宋_GB2312"/>
          <w:color w:val="000000"/>
          <w:sz w:val="32"/>
          <w:szCs w:val="32"/>
        </w:rPr>
        <w:t>市医疗保障局对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政务公开相关</w:t>
      </w:r>
      <w:r>
        <w:rPr>
          <w:rFonts w:hint="eastAsia" w:eastAsia="仿宋_GB2312"/>
          <w:color w:val="000000"/>
          <w:sz w:val="32"/>
          <w:szCs w:val="32"/>
        </w:rPr>
        <w:t>人员进行培训，确保在收到群众咨询时第一时间处理，依法满足公民、法人或其他组织对政府信息的需求。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政府信息管理情况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不断完善政务公开信息公示台账，明确各类信息公开节点，及时公开；定期查看已发布文件有效性，及时处理时效过期文件。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4、</w:t>
      </w:r>
      <w:r>
        <w:rPr>
          <w:rFonts w:hint="eastAsia" w:ascii="仿宋_GB2312" w:hAnsi="仿宋_GB2312" w:eastAsia="仿宋_GB2312" w:cs="仿宋_GB2312"/>
          <w:sz w:val="32"/>
          <w:szCs w:val="32"/>
        </w:rPr>
        <w:t>平台建设情况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医疗保障局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主要通过胶州政务网、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微信公众号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报刊、电视</w:t>
      </w:r>
      <w:r>
        <w:rPr>
          <w:rFonts w:hint="eastAsia" w:ascii="仿宋_GB2312" w:hAnsi="仿宋_GB2312" w:eastAsia="仿宋_GB2312" w:cs="仿宋_GB2312"/>
          <w:sz w:val="32"/>
          <w:szCs w:val="32"/>
        </w:rPr>
        <w:t>等平台发布便民举措信息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进行政务信息公开，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多渠道扩大医保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公开范围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一是通过胶州政务网门户网站的“政务公开”子栏目发布我局主动公开的部门信息，包括：机构信息、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、工作信息、政策解读、年度工作报告等部分，我局在职责范围内，负责主动公开以上各类政府信息。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二是做实做好政务信息公开新媒体建设。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周不定时公开政策问答、图解医保、政策解读等医保内容，特别是对2022年以来政策变动较大的部分通过胶州政务网、微信公众平台、医保政策明白纸等形式，以线上线下相结合的方式公示政策内容，扩大周知范围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社会新闻媒体，广泛宣传报道群众关心的热点问题，如在《大众报业·半岛新闻》以《胶州市开展定点社区专项稽查行动》为题，报道了我市医保基金监管工作经验；在《半岛都市报》以《真情打造“小鱼帮办” 助力提升医保服务》为题，报道我市医保经办服务工作经验。这些做法的宣传，塑造了胶州医保执法为民、亲情为民的良好形象。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政务公开重点工作分解表，建立政务公开重点工作台账，按照完成时限要求，积极督促各责任科室及相关部门按进度完成政务公开任务。加强政务公开管理工作，由一名分管领导牵头，综合科负责，并由综合科一名工作人员专职负责政务公开工作。每年至少开展一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系统内部政务公开培训，将信息公开工作纳入年度目标的考核，制定了考核标准，实行季度通报，计入所在责任科室及相关部门年度考核。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二、主动公开政府信息情况</w:t>
      </w: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2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2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2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default"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三、收到和处理政府信息公开申请情况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tbl>
      <w:tblPr>
        <w:tblStyle w:val="3"/>
        <w:tblW w:w="974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54"/>
        <w:gridCol w:w="921"/>
        <w:gridCol w:w="3087"/>
        <w:gridCol w:w="869"/>
        <w:gridCol w:w="685"/>
        <w:gridCol w:w="685"/>
        <w:gridCol w:w="685"/>
        <w:gridCol w:w="685"/>
        <w:gridCol w:w="685"/>
        <w:gridCol w:w="68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76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7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76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86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2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5" w:type="dxa"/>
            <w:vMerge w:val="restart"/>
            <w:tcBorders>
              <w:top w:val="single" w:color="auto" w:sz="8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76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86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5" w:type="dxa"/>
            <w:vMerge w:val="continue"/>
            <w:tcBorders>
              <w:top w:val="single" w:color="auto" w:sz="8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76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76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restart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8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8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8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79" w:hRule="atLeast"/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869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outset" w:color="auto" w:sz="6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40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76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四、政府信息公开行政复议、行政诉讼情况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tbl>
      <w:tblPr>
        <w:tblStyle w:val="3"/>
        <w:tblW w:w="97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both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400" w:firstLineChars="20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2022年，我局在政府信息公开方面取得了一定的成效，但也存在一些不足，主要表现在：一是对政府信息公开理解程度不够，在信息全面公开做大不够；二是信息公开存在滞后性。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整改措施：一是加强学习，强化政府信息公开队伍建设与培训，及时学精学透上级相关文件政策并传达给各相关科室，保证信息公开的全面性；二是加强对各科室考核力度，加强政府信息公开培训工作，落实各项考核细则，切实提高工作人员对政府信息公开工作的认识水平和工作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（一）政府信息公开信息处理费收取情况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本年度未收取信息处理费。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（二）人大代表建议和政协提案办理结果公开情况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2022年，我局共承办面复人大建议3件，均在规定时间内办理完成。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（三）落实2022年省、市两级政务公开工作要点情况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2022年，我局认真落实省、市两级政务公开工作要点，全年未出现问题。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（四）年度政务公开工作创新情况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扩大公开范围，通过微信公众号进行公开。对因医保政策变动造成变动的审批事项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进行公开，扩大周知范围，并定期公开工作动态与运行情况、窗口亮点工作、群众满意等情况。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（五）政府信息公开工作年度报告数据统计需要说明的事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本年度报告中所列数据的统计期限自2022年1月1日至2022年12月31日。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（六）无其他需要报告的事项。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yZWY0ZjQxNjUyYmI3NWYyOTYxN2I3OWNiZDllZGIifQ=="/>
  </w:docVars>
  <w:rsids>
    <w:rsidRoot w:val="61465828"/>
    <w:rsid w:val="0C4E6409"/>
    <w:rsid w:val="1EC07A68"/>
    <w:rsid w:val="20C77CA5"/>
    <w:rsid w:val="3E5360D0"/>
    <w:rsid w:val="48AB4005"/>
    <w:rsid w:val="4ABB138D"/>
    <w:rsid w:val="501423FD"/>
    <w:rsid w:val="5BC3752B"/>
    <w:rsid w:val="61465828"/>
    <w:rsid w:val="61881EEF"/>
    <w:rsid w:val="7A8E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000000"/>
      <w:u w:val="none"/>
    </w:rPr>
  </w:style>
  <w:style w:type="character" w:styleId="6">
    <w:name w:val="Hyperlink"/>
    <w:basedOn w:val="4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2572</Words>
  <Characters>2659</Characters>
  <Lines>0</Lines>
  <Paragraphs>0</Paragraphs>
  <TotalTime>13</TotalTime>
  <ScaleCrop>false</ScaleCrop>
  <LinksUpToDate>false</LinksUpToDate>
  <CharactersWithSpaces>2695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2022-01-04T06:00:00Z</dcterms:created>
  <dc:creator>周文彬</dc:creator>
  <cp:lastModifiedBy>AAA</cp:lastModifiedBy>
  <dcterms:modified xsi:type="dcterms:W3CDTF">2023-02-21T02:33:34Z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BF89E951783F4FDFB8CBF4081C359C1B</vt:lpwstr>
  </property>
</Properties>
</file>