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Autospacing="0" w:afterAutospacing="0" w:line="560" w:lineRule="exact"/>
        <w:jc w:val="center"/>
        <w:rPr>
          <w:rFonts w:hint="eastAsia" w:ascii="方正小标宋_GBK" w:eastAsia="方正小标宋_GBK"/>
          <w:w w:val="87"/>
          <w:sz w:val="44"/>
          <w:szCs w:val="44"/>
        </w:rPr>
      </w:pPr>
      <w:r>
        <w:rPr>
          <w:rFonts w:hint="eastAsia" w:ascii="方正小标宋_GBK" w:eastAsia="方正小标宋_GBK"/>
          <w:w w:val="87"/>
          <w:sz w:val="44"/>
          <w:szCs w:val="44"/>
          <w:lang w:val="en-US" w:eastAsia="zh-CN"/>
        </w:rPr>
        <w:t>胶州市水利局2022年</w:t>
      </w:r>
      <w:r>
        <w:rPr>
          <w:rFonts w:hint="eastAsia" w:ascii="方正小标宋_GBK" w:eastAsia="方正小标宋_GBK"/>
          <w:w w:val="87"/>
          <w:sz w:val="44"/>
          <w:szCs w:val="44"/>
        </w:rPr>
        <w:t>政府信息公开工作年度报告</w:t>
      </w:r>
    </w:p>
    <w:p>
      <w:pPr>
        <w:numPr>
          <w:ilvl w:val="0"/>
          <w:numId w:val="0"/>
        </w:numPr>
        <w:spacing w:beforeAutospacing="0" w:afterAutospacing="0" w:line="560" w:lineRule="exact"/>
        <w:ind w:leftChars="31"/>
        <w:jc w:val="left"/>
        <w:rPr>
          <w:rFonts w:hint="eastAsia" w:ascii="黑体" w:hAnsi="黑体" w:eastAsia="黑体" w:cs="黑体"/>
          <w:bCs/>
          <w:sz w:val="32"/>
          <w:szCs w:val="32"/>
          <w:lang w:val="en-US" w:eastAsia="zh-CN"/>
        </w:rPr>
      </w:pPr>
    </w:p>
    <w:p>
      <w:pPr>
        <w:numPr>
          <w:ilvl w:val="0"/>
          <w:numId w:val="0"/>
        </w:numPr>
        <w:spacing w:beforeAutospacing="0" w:afterAutospacing="0" w:line="560" w:lineRule="exact"/>
        <w:ind w:leftChars="31" w:firstLine="640" w:firstLineChars="200"/>
        <w:jc w:val="left"/>
        <w:rPr>
          <w:rFonts w:hint="eastAsia" w:ascii="黑体" w:hAnsi="黑体" w:eastAsia="黑体" w:cs="黑体"/>
          <w:bCs/>
          <w:sz w:val="32"/>
          <w:szCs w:val="32"/>
          <w:lang w:val="en-US" w:eastAsia="zh-CN"/>
        </w:rPr>
      </w:pPr>
      <w:r>
        <w:rPr>
          <w:rFonts w:hint="eastAsia" w:ascii="仿宋_GB2312" w:hAnsi="仿宋_GB2312" w:eastAsia="仿宋_GB2312" w:cs="仿宋_GB2312"/>
          <w:sz w:val="32"/>
          <w:szCs w:val="32"/>
          <w:lang w:eastAsia="zh-CN"/>
        </w:rPr>
        <w:t>本年度</w:t>
      </w:r>
      <w:r>
        <w:rPr>
          <w:rFonts w:hint="eastAsia" w:ascii="仿宋_GB2312" w:hAnsi="仿宋_GB2312" w:eastAsia="仿宋_GB2312" w:cs="仿宋_GB2312"/>
          <w:sz w:val="32"/>
          <w:szCs w:val="32"/>
          <w:lang w:val="en-US" w:eastAsia="zh-CN"/>
        </w:rPr>
        <w:t>报告</w:t>
      </w:r>
      <w:r>
        <w:rPr>
          <w:rFonts w:hint="eastAsia" w:ascii="仿宋_GB2312" w:hAnsi="仿宋_GB2312" w:eastAsia="仿宋_GB2312" w:cs="仿宋_GB2312"/>
          <w:sz w:val="32"/>
          <w:szCs w:val="32"/>
          <w:lang w:eastAsia="zh-CN"/>
        </w:rPr>
        <w:t>根据《中华人民共和国政府信息公开条例》（国务院令第711号）第五十条和《国务院办公厅政府信息与政务公开办公室关于印发中华人民共和国政府信息公开工作年度报告格式的通知》（国办公开办函〔2021〕30号）相关要求编制，内容包括总体情况、主动公开政府信息情况、收到和处理政府信息公开申请情况、政府信息公开</w:t>
      </w:r>
      <w:bookmarkStart w:id="0" w:name="_GoBack"/>
      <w:bookmarkEnd w:id="0"/>
      <w:r>
        <w:rPr>
          <w:rFonts w:hint="eastAsia" w:ascii="仿宋_GB2312" w:hAnsi="仿宋_GB2312" w:eastAsia="仿宋_GB2312" w:cs="仿宋_GB2312"/>
          <w:sz w:val="32"/>
          <w:szCs w:val="32"/>
          <w:lang w:eastAsia="zh-CN"/>
        </w:rPr>
        <w:t>行政复议和行政诉讼情况、存在的主要问题及改进情况、其他需要报告的事项等六个部分。本报告中所列数据的统计期限自202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年1月1日起至202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年12月31日止。本报告的电子版可在“胶州政务网”（www.jiaozhou.gov.cn）下载。如对本报告有任何疑问，请与胶州市水利局联系（地址：胶州市北京路</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号行政服务西楼</w:t>
      </w:r>
      <w:r>
        <w:rPr>
          <w:rFonts w:hint="eastAsia" w:ascii="仿宋_GB2312" w:hAnsi="仿宋_GB2312" w:eastAsia="仿宋_GB2312" w:cs="仿宋_GB2312"/>
          <w:sz w:val="32"/>
          <w:szCs w:val="32"/>
          <w:lang w:val="en-US" w:eastAsia="zh-CN"/>
        </w:rPr>
        <w:t>9层</w:t>
      </w:r>
      <w:r>
        <w:rPr>
          <w:rFonts w:hint="eastAsia" w:ascii="仿宋_GB2312" w:hAnsi="仿宋_GB2312" w:eastAsia="仿宋_GB2312" w:cs="仿宋_GB2312"/>
          <w:sz w:val="32"/>
          <w:szCs w:val="32"/>
          <w:lang w:eastAsia="zh-CN"/>
        </w:rPr>
        <w:t>；邮编：266300；电话：</w:t>
      </w:r>
      <w:r>
        <w:rPr>
          <w:rFonts w:hint="eastAsia" w:ascii="仿宋_GB2312" w:hAnsi="仿宋_GB2312" w:eastAsia="仿宋_GB2312" w:cs="仿宋_GB2312"/>
          <w:sz w:val="32"/>
          <w:szCs w:val="32"/>
          <w:lang w:val="en-US" w:eastAsia="zh-CN"/>
        </w:rPr>
        <w:t>0532-</w:t>
      </w:r>
      <w:r>
        <w:rPr>
          <w:rFonts w:hint="eastAsia" w:ascii="仿宋_GB2312" w:hAnsi="仿宋_GB2312" w:eastAsia="仿宋_GB2312" w:cs="仿宋_GB2312"/>
          <w:sz w:val="32"/>
          <w:szCs w:val="32"/>
          <w:lang w:eastAsia="zh-CN"/>
        </w:rPr>
        <w:t>822</w:t>
      </w:r>
      <w:r>
        <w:rPr>
          <w:rFonts w:hint="eastAsia" w:ascii="仿宋_GB2312" w:hAnsi="仿宋_GB2312" w:eastAsia="仿宋_GB2312" w:cs="仿宋_GB2312"/>
          <w:sz w:val="32"/>
          <w:szCs w:val="32"/>
          <w:lang w:val="en-US" w:eastAsia="zh-CN"/>
        </w:rPr>
        <w:t>06159</w:t>
      </w:r>
      <w:r>
        <w:rPr>
          <w:rFonts w:hint="eastAsia" w:ascii="仿宋_GB2312" w:hAnsi="仿宋_GB2312" w:eastAsia="仿宋_GB2312" w:cs="仿宋_GB2312"/>
          <w:sz w:val="32"/>
          <w:szCs w:val="32"/>
          <w:lang w:eastAsia="zh-CN"/>
        </w:rPr>
        <w:t>）。</w:t>
      </w:r>
    </w:p>
    <w:p>
      <w:pPr>
        <w:numPr>
          <w:ilvl w:val="0"/>
          <w:numId w:val="0"/>
        </w:numPr>
        <w:spacing w:beforeAutospacing="0" w:afterAutospacing="0" w:line="560" w:lineRule="exact"/>
        <w:ind w:leftChars="31" w:firstLine="640" w:firstLineChars="200"/>
        <w:jc w:val="left"/>
        <w:rPr>
          <w:rFonts w:hint="eastAsia" w:ascii="仿宋_GB2312" w:hAnsi="仿宋_GB2312" w:eastAsia="仿宋_GB2312" w:cs="仿宋_GB2312"/>
          <w:sz w:val="32"/>
          <w:szCs w:val="32"/>
          <w:lang w:eastAsia="zh-CN"/>
        </w:rPr>
      </w:pPr>
      <w:r>
        <w:rPr>
          <w:rFonts w:hint="eastAsia" w:ascii="黑体" w:hAnsi="黑体" w:eastAsia="黑体" w:cs="黑体"/>
          <w:bCs/>
          <w:sz w:val="32"/>
          <w:szCs w:val="32"/>
          <w:lang w:val="en-US" w:eastAsia="zh-CN"/>
        </w:rPr>
        <w:t>一、总体情况</w:t>
      </w:r>
    </w:p>
    <w:p>
      <w:pPr>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（一）主动公开方面：坚持“公开为常态、不公开为例外”，截止202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年12月31日，累计主动公开信息</w:t>
      </w:r>
      <w:r>
        <w:rPr>
          <w:rFonts w:hint="eastAsia" w:ascii="仿宋_GB2312" w:hAnsi="仿宋_GB2312" w:eastAsia="仿宋_GB2312" w:cs="仿宋_GB2312"/>
          <w:sz w:val="32"/>
          <w:szCs w:val="32"/>
          <w:lang w:val="en-US" w:eastAsia="zh-CN"/>
        </w:rPr>
        <w:t>113</w:t>
      </w:r>
      <w:r>
        <w:rPr>
          <w:rFonts w:hint="eastAsia" w:ascii="仿宋_GB2312" w:hAnsi="仿宋_GB2312" w:eastAsia="仿宋_GB2312" w:cs="仿宋_GB2312"/>
          <w:sz w:val="32"/>
          <w:szCs w:val="32"/>
          <w:lang w:eastAsia="zh-CN"/>
        </w:rPr>
        <w:t>条，涉及法规文件、工作动态、行政权力运行等方面。</w:t>
      </w:r>
    </w:p>
    <w:p>
      <w:pPr>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（二）依申请公开方面：202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年，胶州市水利局坚持提升依申请公开服务能力，提高工作效率，健全规范依申请公开办理程序，今年以来新收政府信息公开申请1条，与</w:t>
      </w:r>
      <w:r>
        <w:rPr>
          <w:rFonts w:hint="eastAsia" w:ascii="仿宋_GB2312" w:hAnsi="仿宋_GB2312" w:eastAsia="仿宋_GB2312" w:cs="仿宋_GB2312"/>
          <w:sz w:val="32"/>
          <w:szCs w:val="32"/>
          <w:lang w:val="en-US" w:eastAsia="zh-CN"/>
        </w:rPr>
        <w:t>2021年（2021年收到政府信息公开申请1条）相比无变化。</w:t>
      </w:r>
      <w:r>
        <w:rPr>
          <w:rFonts w:hint="eastAsia" w:ascii="仿宋_GB2312" w:hAnsi="仿宋_GB2312" w:eastAsia="仿宋_GB2312" w:cs="仿宋_GB2312"/>
          <w:sz w:val="32"/>
          <w:szCs w:val="32"/>
          <w:lang w:eastAsia="zh-CN"/>
        </w:rPr>
        <w:t>受理的申请件均严格按照法定程序和时限给予答复，依法满足公民、法人或其他组织对政府信息的需求。</w:t>
      </w:r>
    </w:p>
    <w:p>
      <w:pPr>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（三）政府信息管理方面：我局严格落实政府网站信息发布审核制度，落实公开信息把关机制，确保信息发布的时效性和安全性。严格做好政府信息公开保密审查，确保公开信息不涉密、涉密信息不公开。</w:t>
      </w:r>
    </w:p>
    <w:p>
      <w:pPr>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（四）政府信息公开平台建设情况：我局主要依托胶州政务网、本部门宣传栏、“</w:t>
      </w:r>
      <w:r>
        <w:rPr>
          <w:rFonts w:hint="eastAsia" w:ascii="仿宋_GB2312" w:hAnsi="仿宋_GB2312" w:eastAsia="仿宋_GB2312" w:cs="仿宋_GB2312"/>
          <w:sz w:val="32"/>
          <w:szCs w:val="32"/>
          <w:lang w:val="en-US" w:eastAsia="zh-CN"/>
        </w:rPr>
        <w:t>胶州市水利局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微信公众号</w:t>
      </w:r>
      <w:r>
        <w:rPr>
          <w:rFonts w:hint="eastAsia" w:ascii="仿宋_GB2312" w:hAnsi="仿宋_GB2312" w:eastAsia="仿宋_GB2312" w:cs="仿宋_GB2312"/>
          <w:sz w:val="32"/>
          <w:szCs w:val="32"/>
          <w:lang w:eastAsia="zh-CN"/>
        </w:rPr>
        <w:t>等作为政府信息公开的载体。目前这些载体均运行正常，公开渠道畅通。充分发挥门户网站的主渠道作用，加大公开力度，为群众了解</w:t>
      </w:r>
      <w:r>
        <w:rPr>
          <w:rFonts w:hint="eastAsia" w:ascii="仿宋_GB2312" w:hAnsi="仿宋_GB2312" w:eastAsia="仿宋_GB2312" w:cs="仿宋_GB2312"/>
          <w:sz w:val="32"/>
          <w:szCs w:val="32"/>
          <w:lang w:val="en-US" w:eastAsia="zh-CN"/>
        </w:rPr>
        <w:t>胶州水利</w:t>
      </w:r>
      <w:r>
        <w:rPr>
          <w:rFonts w:hint="eastAsia" w:ascii="仿宋_GB2312" w:hAnsi="仿宋_GB2312" w:eastAsia="仿宋_GB2312" w:cs="仿宋_GB2312"/>
          <w:sz w:val="32"/>
          <w:szCs w:val="32"/>
          <w:lang w:eastAsia="zh-CN"/>
        </w:rPr>
        <w:t>信息提供便利。</w:t>
      </w:r>
    </w:p>
    <w:p>
      <w:pPr>
        <w:numPr>
          <w:ilvl w:val="0"/>
          <w:numId w:val="0"/>
        </w:numPr>
        <w:spacing w:beforeAutospacing="0" w:afterAutospacing="0" w:line="240" w:lineRule="auto"/>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615305" cy="2745740"/>
            <wp:effectExtent l="0" t="0" r="4445" b="16510"/>
            <wp:docPr id="1" name="图片 2" descr="360截图2023010414503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360截图20230104145031077"/>
                    <pic:cNvPicPr>
                      <a:picLocks noChangeAspect="1"/>
                    </pic:cNvPicPr>
                  </pic:nvPicPr>
                  <pic:blipFill>
                    <a:blip r:embed="rId5"/>
                    <a:stretch>
                      <a:fillRect/>
                    </a:stretch>
                  </pic:blipFill>
                  <pic:spPr>
                    <a:xfrm>
                      <a:off x="0" y="0"/>
                      <a:ext cx="5615305" cy="2745740"/>
                    </a:xfrm>
                    <a:prstGeom prst="rect">
                      <a:avLst/>
                    </a:prstGeom>
                  </pic:spPr>
                </pic:pic>
              </a:graphicData>
            </a:graphic>
          </wp:inline>
        </w:drawing>
      </w:r>
    </w:p>
    <w:p>
      <w:pPr>
        <w:numPr>
          <w:ilvl w:val="0"/>
          <w:numId w:val="1"/>
        </w:numPr>
        <w:spacing w:beforeAutospacing="0" w:afterAutospacing="0" w:line="560" w:lineRule="exact"/>
        <w:ind w:leftChars="31"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监督保障情况：</w:t>
      </w:r>
      <w:r>
        <w:rPr>
          <w:rFonts w:hint="eastAsia" w:ascii="仿宋_GB2312" w:hAnsi="仿宋_GB2312" w:eastAsia="仿宋_GB2312" w:cs="仿宋_GB2312"/>
          <w:sz w:val="32"/>
          <w:szCs w:val="32"/>
          <w:lang w:val="en-US" w:eastAsia="zh-CN"/>
        </w:rPr>
        <w:t>我局</w:t>
      </w:r>
      <w:r>
        <w:rPr>
          <w:rFonts w:hint="eastAsia" w:ascii="仿宋_GB2312" w:hAnsi="仿宋_GB2312" w:eastAsia="仿宋_GB2312" w:cs="仿宋_GB2312"/>
          <w:sz w:val="32"/>
          <w:szCs w:val="32"/>
          <w:lang w:eastAsia="zh-CN"/>
        </w:rPr>
        <w:t>将政府信息公开相关规定纳入机关常态化学习内容，加大内部培训力度，持续提升对政府信息公开工作的认识水平和工作能力。进一步理顺各科室、</w:t>
      </w:r>
      <w:r>
        <w:rPr>
          <w:rFonts w:hint="eastAsia" w:ascii="仿宋_GB2312" w:hAnsi="仿宋_GB2312" w:eastAsia="仿宋_GB2312" w:cs="仿宋_GB2312"/>
          <w:sz w:val="32"/>
          <w:szCs w:val="32"/>
          <w:lang w:val="en-US" w:eastAsia="zh-CN"/>
        </w:rPr>
        <w:t>中心、服务站</w:t>
      </w:r>
      <w:r>
        <w:rPr>
          <w:rFonts w:hint="eastAsia" w:ascii="仿宋_GB2312" w:hAnsi="仿宋_GB2312" w:eastAsia="仿宋_GB2312" w:cs="仿宋_GB2312"/>
          <w:sz w:val="32"/>
          <w:szCs w:val="32"/>
          <w:lang w:eastAsia="zh-CN"/>
        </w:rPr>
        <w:t>职责，细化分工，明确主动公开的范围、平台和程序等，规范办理流程，强化制度保障。将政府信息公开工作纳入年度绩效考核体系，激发政府信息公开工作</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积极性和主动性。</w:t>
      </w:r>
    </w:p>
    <w:p>
      <w:pPr>
        <w:numPr>
          <w:numId w:val="0"/>
        </w:numPr>
        <w:spacing w:beforeAutospacing="0" w:afterAutospacing="0" w:line="560" w:lineRule="exact"/>
        <w:ind w:leftChars="231"/>
        <w:jc w:val="left"/>
        <w:rPr>
          <w:rFonts w:hint="eastAsia" w:ascii="仿宋_GB2312" w:hAnsi="仿宋_GB2312" w:eastAsia="仿宋_GB2312" w:cs="仿宋_GB2312"/>
          <w:sz w:val="32"/>
          <w:szCs w:val="32"/>
          <w:lang w:eastAsia="zh-CN"/>
        </w:rPr>
      </w:pPr>
    </w:p>
    <w:p>
      <w:pPr>
        <w:numPr>
          <w:ilvl w:val="0"/>
          <w:numId w:val="0"/>
        </w:numPr>
        <w:spacing w:beforeAutospacing="0" w:afterAutospacing="0" w:line="560" w:lineRule="exact"/>
        <w:ind w:leftChars="31" w:firstLine="640" w:firstLineChars="200"/>
        <w:jc w:val="left"/>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二、主动公开政府信息情况</w:t>
      </w:r>
    </w:p>
    <w:tbl>
      <w:tblPr>
        <w:tblStyle w:val="5"/>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color w:val="333333"/>
                <w:kern w:val="0"/>
                <w:sz w:val="20"/>
                <w:szCs w:val="20"/>
                <w:lang w:val="en-US" w:eastAsia="zh-CN" w:bidi="ar"/>
              </w:rPr>
              <w:t>制发件数</w:t>
            </w:r>
          </w:p>
        </w:tc>
        <w:tc>
          <w:tcPr>
            <w:tcW w:w="2435" w:type="dxa"/>
            <w:tcBorders>
              <w:top w:val="single" w:color="auto" w:sz="8" w:space="0"/>
              <w:left w:val="nil"/>
              <w:bottom w:val="single" w:color="auto" w:sz="8" w:space="0"/>
              <w:right w:val="single" w:color="auto" w:sz="4"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color w:val="333333"/>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4"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Calibri" w:hAnsi="Calibri" w:eastAsia="宋体" w:cs="Calibri"/>
                <w:color w:val="333333"/>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4"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Calibri" w:hAnsi="Calibri" w:eastAsia="宋体" w:cs="Calibri"/>
                <w:color w:val="333333"/>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single" w:color="auto" w:sz="8" w:space="0"/>
              <w:left w:val="single" w:color="auto" w:sz="8" w:space="0"/>
              <w:bottom w:val="single" w:color="auto" w:sz="8" w:space="0"/>
              <w:right w:val="single" w:color="auto" w:sz="4"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000000"/>
                <w:kern w:val="0"/>
                <w:sz w:val="20"/>
                <w:szCs w:val="20"/>
                <w:lang w:val="en-US" w:eastAsia="zh-CN" w:bidi="ar"/>
              </w:rPr>
              <w:t>行政许可</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eastAsia" w:ascii="Calibri" w:hAnsi="Calibri" w:eastAsia="宋体" w:cs="Calibri"/>
                <w:color w:val="333333"/>
                <w:kern w:val="2"/>
                <w:sz w:val="21"/>
                <w:szCs w:val="21"/>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eastAsiaTheme="minorEastAsia"/>
                <w:lang w:val="en-US" w:eastAsia="zh-CN"/>
              </w:rPr>
            </w:pPr>
            <w:r>
              <w:rPr>
                <w:rFonts w:hint="eastAsia"/>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eastAsia" w:eastAsiaTheme="minorEastAsia"/>
                <w:lang w:val="en-US" w:eastAsia="zh-CN"/>
              </w:rPr>
            </w:pPr>
            <w:r>
              <w:rPr>
                <w:rFonts w:hint="eastAsia"/>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jc w:val="center"/>
              <w:rPr>
                <w:rFonts w:hint="default" w:ascii="宋体" w:hAnsi="宋体" w:eastAsia="宋体" w:cs="宋体"/>
                <w:color w:val="333333"/>
                <w:sz w:val="21"/>
                <w:szCs w:val="21"/>
                <w:lang w:val="en-US" w:eastAsia="zh-CN"/>
              </w:rPr>
            </w:pPr>
            <w:r>
              <w:rPr>
                <w:rFonts w:hint="eastAsia" w:ascii="宋体" w:hAnsi="宋体" w:eastAsia="宋体" w:cs="宋体"/>
                <w:color w:val="333333"/>
                <w:sz w:val="21"/>
                <w:szCs w:val="21"/>
                <w:lang w:val="en-US" w:eastAsia="zh-CN"/>
              </w:rPr>
              <w:t>943.8</w:t>
            </w:r>
          </w:p>
        </w:tc>
      </w:tr>
    </w:tbl>
    <w:p>
      <w:pPr>
        <w:numPr>
          <w:ilvl w:val="0"/>
          <w:numId w:val="0"/>
        </w:numPr>
        <w:spacing w:beforeAutospacing="0" w:afterAutospacing="0" w:line="560" w:lineRule="exact"/>
        <w:ind w:firstLine="640" w:firstLineChars="200"/>
        <w:jc w:val="left"/>
        <w:rPr>
          <w:rFonts w:hint="eastAsia" w:ascii="黑体" w:hAnsi="黑体" w:eastAsia="黑体" w:cs="黑体"/>
          <w:bCs/>
          <w:sz w:val="32"/>
          <w:szCs w:val="32"/>
          <w:lang w:val="en-US" w:eastAsia="zh-CN"/>
        </w:rPr>
      </w:pPr>
    </w:p>
    <w:p>
      <w:pPr>
        <w:numPr>
          <w:ilvl w:val="0"/>
          <w:numId w:val="0"/>
        </w:numPr>
        <w:spacing w:beforeAutospacing="0" w:afterAutospacing="0" w:line="560" w:lineRule="exact"/>
        <w:ind w:firstLine="640" w:firstLineChars="200"/>
        <w:jc w:val="left"/>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三、收到和处理政府信息公开申请情况</w:t>
      </w:r>
    </w:p>
    <w:tbl>
      <w:tblPr>
        <w:tblStyle w:val="5"/>
        <w:tblW w:w="974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57" w:type="dxa"/>
          <w:bottom w:w="0" w:type="dxa"/>
          <w:right w:w="57" w:type="dxa"/>
        </w:tblCellMar>
      </w:tblPr>
      <w:tblGrid>
        <w:gridCol w:w="754"/>
        <w:gridCol w:w="921"/>
        <w:gridCol w:w="3271"/>
        <w:gridCol w:w="685"/>
        <w:gridCol w:w="685"/>
        <w:gridCol w:w="685"/>
        <w:gridCol w:w="685"/>
        <w:gridCol w:w="685"/>
        <w:gridCol w:w="685"/>
        <w:gridCol w:w="68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4946" w:type="dxa"/>
            <w:gridSpan w:val="3"/>
            <w:vMerge w:val="restart"/>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楷体" w:hAnsi="楷体" w:eastAsia="楷体" w:cs="楷体"/>
                <w:color w:val="333333"/>
                <w:kern w:val="0"/>
                <w:sz w:val="20"/>
                <w:szCs w:val="20"/>
                <w:lang w:val="en-US" w:eastAsia="zh-CN" w:bidi="ar"/>
              </w:rPr>
              <w:t>（本列数据的勾稽关系为：第一项加第二项之和，等于第三项加第四项之和）</w:t>
            </w:r>
          </w:p>
        </w:tc>
        <w:tc>
          <w:tcPr>
            <w:tcW w:w="4795" w:type="dxa"/>
            <w:gridSpan w:val="7"/>
            <w:tcBorders>
              <w:top w:val="single" w:color="auto" w:sz="8" w:space="0"/>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4946" w:type="dxa"/>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jc w:val="left"/>
              <w:rPr>
                <w:rFonts w:hint="eastAsia" w:ascii="宋体" w:hAnsi="宋体" w:eastAsia="宋体" w:cs="宋体"/>
                <w:color w:val="333333"/>
                <w:sz w:val="21"/>
                <w:szCs w:val="21"/>
              </w:rPr>
            </w:pPr>
          </w:p>
        </w:tc>
        <w:tc>
          <w:tcPr>
            <w:tcW w:w="685" w:type="dxa"/>
            <w:vMerge w:val="restart"/>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自然人</w:t>
            </w:r>
          </w:p>
        </w:tc>
        <w:tc>
          <w:tcPr>
            <w:tcW w:w="3425" w:type="dxa"/>
            <w:gridSpan w:val="5"/>
            <w:tcBorders>
              <w:top w:val="single" w:color="auto" w:sz="8" w:space="0"/>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法人或其他组织</w:t>
            </w:r>
          </w:p>
        </w:tc>
        <w:tc>
          <w:tcPr>
            <w:tcW w:w="685" w:type="dxa"/>
            <w:vMerge w:val="restart"/>
            <w:tcBorders>
              <w:top w:val="single" w:color="auto" w:sz="8" w:space="0"/>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4946" w:type="dxa"/>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jc w:val="left"/>
              <w:rPr>
                <w:rFonts w:hint="eastAsia" w:ascii="宋体" w:hAnsi="宋体" w:eastAsia="宋体" w:cs="宋体"/>
                <w:color w:val="333333"/>
                <w:sz w:val="21"/>
                <w:szCs w:val="21"/>
              </w:rPr>
            </w:pPr>
          </w:p>
        </w:tc>
        <w:tc>
          <w:tcPr>
            <w:tcW w:w="685" w:type="dxa"/>
            <w:vMerge w:val="continue"/>
            <w:tcBorders>
              <w:top w:val="nil"/>
              <w:left w:val="nil"/>
              <w:bottom w:val="single" w:color="auto" w:sz="8"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商业</w:t>
            </w:r>
          </w:p>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企业</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科研</w:t>
            </w:r>
          </w:p>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机构</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社会公益组织</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法律服务机构</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宋体" w:hAnsi="宋体" w:eastAsia="宋体" w:cs="宋体"/>
                <w:color w:val="333333"/>
                <w:kern w:val="0"/>
                <w:sz w:val="20"/>
                <w:szCs w:val="20"/>
                <w:lang w:val="en-US" w:eastAsia="zh-CN" w:bidi="ar"/>
              </w:rPr>
              <w:t>其他</w:t>
            </w:r>
          </w:p>
        </w:tc>
        <w:tc>
          <w:tcPr>
            <w:tcW w:w="685" w:type="dxa"/>
            <w:vMerge w:val="continue"/>
            <w:tcBorders>
              <w:top w:val="single" w:color="auto" w:sz="8" w:space="0"/>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一、本年新收政府信息公开申请数量</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default" w:ascii="Calibri" w:hAnsi="Calibri" w:eastAsia="宋体" w:cs="Calibri"/>
                <w:color w:val="333333"/>
                <w:kern w:val="0"/>
                <w:sz w:val="20"/>
                <w:szCs w:val="20"/>
                <w:lang w:val="en-US" w:eastAsia="zh-CN" w:bidi="ar"/>
              </w:rPr>
              <w:t> </w:t>
            </w:r>
            <w:r>
              <w:rPr>
                <w:rFonts w:hint="eastAsia" w:ascii="Calibri" w:hAnsi="Calibri" w:eastAsia="宋体" w:cs="Calibri"/>
                <w:color w:val="333333"/>
                <w:kern w:val="0"/>
                <w:sz w:val="20"/>
                <w:szCs w:val="20"/>
                <w:lang w:val="en-US" w:eastAsia="zh-CN" w:bidi="ar"/>
              </w:rPr>
              <w:t>1</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1</w:t>
            </w:r>
            <w:r>
              <w:rPr>
                <w:rFonts w:hint="default" w:ascii="Calibri" w:hAnsi="Calibri" w:eastAsia="宋体" w:cs="Calibri"/>
                <w:color w:val="333333"/>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二、上年结转政府信息公开申请数量</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restart"/>
            <w:tcBorders>
              <w:top w:val="nil"/>
              <w:left w:val="single" w:color="auto" w:sz="8" w:space="0"/>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三、本年度办理结果</w:t>
            </w: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（一）予以公开</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default" w:ascii="Calibri" w:hAnsi="Calibri" w:eastAsia="宋体" w:cs="Calibri"/>
                <w:color w:val="333333"/>
                <w:kern w:val="0"/>
                <w:sz w:val="20"/>
                <w:szCs w:val="20"/>
                <w:lang w:val="en-US" w:eastAsia="zh-CN" w:bidi="ar"/>
              </w:rPr>
              <w:t> </w:t>
            </w:r>
            <w:r>
              <w:rPr>
                <w:rFonts w:hint="eastAsia" w:ascii="Calibri" w:hAnsi="Calibri" w:eastAsia="宋体" w:cs="Calibri"/>
                <w:color w:val="333333"/>
                <w:kern w:val="0"/>
                <w:sz w:val="20"/>
                <w:szCs w:val="20"/>
                <w:lang w:val="en-US" w:eastAsia="zh-CN" w:bidi="ar"/>
              </w:rPr>
              <w:t>1</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1</w:t>
            </w:r>
            <w:r>
              <w:rPr>
                <w:rFonts w:hint="default" w:ascii="Calibri" w:hAnsi="Calibri" w:eastAsia="宋体" w:cs="Calibri"/>
                <w:color w:val="333333"/>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（二）部分公开</w:t>
            </w:r>
            <w:r>
              <w:rPr>
                <w:rFonts w:hint="eastAsia" w:ascii="楷体" w:hAnsi="楷体" w:eastAsia="楷体" w:cs="楷体"/>
                <w:color w:val="333333"/>
                <w:kern w:val="0"/>
                <w:sz w:val="20"/>
                <w:szCs w:val="20"/>
                <w:lang w:val="en-US" w:eastAsia="zh-CN" w:bidi="ar"/>
              </w:rPr>
              <w:t>（区分处理的，只计这一情形，不计其他情形）</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（三）不予公开</w:t>
            </w: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1.属于国家秘密</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2.其他法律行政法规禁止公开</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3.危及“三安全一稳定”</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4.保护第三方合法权益</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5.属于三类内部事务信息</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6.属于四类过程性信息</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7.属于行政执法案卷</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8.属于行政查询事项</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（四）无法提供</w:t>
            </w: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1.本机关不掌握相关政府信息</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2.没有现成信息需要另行制作</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3.补正后申请内容仍不明确</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（五）不予处理</w:t>
            </w:r>
          </w:p>
        </w:tc>
        <w:tc>
          <w:tcPr>
            <w:tcW w:w="3271"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1.信访举报投诉类申请</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2.重复申请</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3.要求提供公开出版物</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4.无正当理由大量反复申请</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single" w:color="auto" w:sz="8" w:space="0"/>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trHeight w:val="779" w:hRule="atLeast"/>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both"/>
            </w:pPr>
            <w:r>
              <w:rPr>
                <w:rFonts w:hint="eastAsia" w:ascii="宋体" w:hAnsi="宋体" w:eastAsia="宋体" w:cs="宋体"/>
                <w:color w:val="333333"/>
                <w:kern w:val="0"/>
                <w:sz w:val="20"/>
                <w:szCs w:val="20"/>
                <w:lang w:val="en-US" w:eastAsia="zh-CN" w:bidi="ar"/>
              </w:rPr>
              <w:t>5.要求行政机关确认或重新出具已获取信息</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restart"/>
            <w:tcBorders>
              <w:top w:val="outset" w:color="auto" w:sz="6" w:space="0"/>
              <w:left w:val="nil"/>
              <w:bottom w:val="outset" w:color="auto" w:sz="6"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（六）其他处理</w:t>
            </w:r>
          </w:p>
        </w:tc>
        <w:tc>
          <w:tcPr>
            <w:tcW w:w="3271"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both"/>
            </w:pPr>
            <w:r>
              <w:rPr>
                <w:rFonts w:hint="eastAsia" w:ascii="宋体" w:hAnsi="宋体" w:eastAsia="宋体" w:cs="宋体"/>
                <w:color w:val="333333"/>
                <w:kern w:val="0"/>
                <w:sz w:val="20"/>
                <w:szCs w:val="20"/>
                <w:lang w:val="en-US" w:eastAsia="zh-CN" w:bidi="ar"/>
              </w:rPr>
              <w:t>1.申请人无正当理由逾期不补正、行政机关不再处理其政府信息公开申请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outset" w:color="auto" w:sz="6" w:space="0"/>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both"/>
            </w:pPr>
            <w:r>
              <w:rPr>
                <w:rFonts w:hint="eastAsia" w:ascii="宋体" w:hAnsi="宋体" w:eastAsia="宋体" w:cs="宋体"/>
                <w:color w:val="333333"/>
                <w:kern w:val="0"/>
                <w:sz w:val="20"/>
                <w:szCs w:val="20"/>
                <w:lang w:val="en-US" w:eastAsia="zh-CN" w:bidi="ar"/>
              </w:rPr>
              <w:t>2.申请人逾期未按收费通知要求缴纳费用、行政机关不再处理其政府信息公开申请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921" w:type="dxa"/>
            <w:vMerge w:val="continue"/>
            <w:tcBorders>
              <w:top w:val="outset" w:color="auto" w:sz="6" w:space="0"/>
              <w:left w:val="nil"/>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3271"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3.其他</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c>
          <w:tcPr>
            <w:tcW w:w="685" w:type="dxa"/>
            <w:tcBorders>
              <w:top w:val="nil"/>
              <w:left w:val="nil"/>
              <w:bottom w:val="single" w:color="auto" w:sz="8" w:space="0"/>
              <w:right w:val="single" w:color="auto" w:sz="8" w:space="0"/>
            </w:tcBorders>
            <w:shd w:val="clear" w:color="auto" w:fill="auto"/>
            <w:vAlign w:val="top"/>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jc w:val="left"/>
              <w:rPr>
                <w:rFonts w:hint="eastAsia" w:ascii="宋体" w:hAnsi="宋体" w:eastAsia="宋体" w:cs="宋体"/>
                <w:color w:val="333333"/>
                <w:sz w:val="21"/>
                <w:szCs w:val="21"/>
              </w:rPr>
            </w:pP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（七）总计</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default" w:ascii="Calibri" w:hAnsi="Calibri" w:eastAsia="宋体" w:cs="Calibri"/>
                <w:color w:val="333333"/>
                <w:kern w:val="0"/>
                <w:sz w:val="20"/>
                <w:szCs w:val="20"/>
                <w:lang w:val="en-US" w:eastAsia="zh-CN" w:bidi="ar"/>
              </w:rPr>
              <w:t> </w:t>
            </w:r>
            <w:r>
              <w:rPr>
                <w:rFonts w:hint="eastAsia" w:ascii="Calibri" w:hAnsi="Calibri" w:eastAsia="宋体" w:cs="Calibri"/>
                <w:color w:val="333333"/>
                <w:kern w:val="0"/>
                <w:sz w:val="20"/>
                <w:szCs w:val="20"/>
                <w:lang w:val="en-US" w:eastAsia="zh-CN" w:bidi="ar"/>
              </w:rPr>
              <w:t>1</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57" w:type="dxa"/>
            <w:bottom w:w="0" w:type="dxa"/>
            <w:right w:w="57" w:type="dxa"/>
          </w:tblCellMar>
        </w:tblPrEx>
        <w:trPr>
          <w:jc w:val="center"/>
        </w:trPr>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left"/>
            </w:pPr>
            <w:r>
              <w:rPr>
                <w:rFonts w:hint="eastAsia" w:ascii="宋体" w:hAnsi="宋体" w:eastAsia="宋体" w:cs="宋体"/>
                <w:color w:val="333333"/>
                <w:kern w:val="0"/>
                <w:sz w:val="20"/>
                <w:szCs w:val="20"/>
                <w:lang w:val="en-US" w:eastAsia="zh-CN" w:bidi="ar"/>
              </w:rPr>
              <w:t>四、结转下年度继续办理</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rPr>
                <w:rFonts w:hint="default"/>
                <w:lang w:val="en-US"/>
              </w:rPr>
            </w:pPr>
            <w:r>
              <w:rPr>
                <w:rFonts w:hint="default" w:ascii="Calibri" w:hAnsi="Calibri" w:eastAsia="宋体" w:cs="Calibri"/>
                <w:color w:val="333333"/>
                <w:kern w:val="0"/>
                <w:sz w:val="20"/>
                <w:szCs w:val="20"/>
                <w:lang w:val="en-US" w:eastAsia="zh-CN" w:bidi="ar"/>
              </w:rPr>
              <w:t> </w:t>
            </w: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right="0"/>
              <w:jc w:val="center"/>
            </w:pPr>
            <w:r>
              <w:rPr>
                <w:rFonts w:hint="eastAsia" w:ascii="Calibri" w:hAnsi="Calibri" w:eastAsia="宋体" w:cs="Calibri"/>
                <w:color w:val="333333"/>
                <w:kern w:val="0"/>
                <w:sz w:val="20"/>
                <w:szCs w:val="20"/>
                <w:lang w:val="en-US" w:eastAsia="zh-CN" w:bidi="ar"/>
              </w:rPr>
              <w:t>0</w:t>
            </w:r>
          </w:p>
        </w:tc>
        <w:tc>
          <w:tcPr>
            <w:tcW w:w="685" w:type="dxa"/>
            <w:tcBorders>
              <w:top w:val="nil"/>
              <w:left w:val="nil"/>
              <w:bottom w:val="single" w:color="auto" w:sz="8" w:space="0"/>
              <w:right w:val="single" w:color="auto" w:sz="8" w:space="0"/>
            </w:tcBorders>
            <w:shd w:val="clear" w:color="auto" w:fill="auto"/>
            <w:vAlign w:val="top"/>
          </w:tcPr>
          <w:p>
            <w:pPr>
              <w:jc w:val="center"/>
              <w:rPr>
                <w:rFonts w:hint="eastAsia" w:ascii="宋体" w:hAnsi="宋体" w:eastAsia="宋体" w:cs="宋体"/>
                <w:color w:val="333333"/>
                <w:sz w:val="21"/>
                <w:szCs w:val="21"/>
              </w:rPr>
            </w:pPr>
            <w:r>
              <w:rPr>
                <w:rFonts w:hint="eastAsia" w:ascii="Calibri" w:hAnsi="Calibri" w:eastAsia="宋体" w:cs="Calibri"/>
                <w:color w:val="333333"/>
                <w:kern w:val="0"/>
                <w:sz w:val="20"/>
                <w:szCs w:val="20"/>
                <w:lang w:val="en-US" w:eastAsia="zh-CN" w:bidi="ar"/>
              </w:rPr>
              <w:t>0</w:t>
            </w:r>
          </w:p>
        </w:tc>
      </w:tr>
    </w:tbl>
    <w:p>
      <w:pPr>
        <w:widowControl w:val="0"/>
        <w:numPr>
          <w:ilvl w:val="0"/>
          <w:numId w:val="0"/>
        </w:numPr>
        <w:spacing w:beforeAutospacing="0" w:afterAutospacing="0" w:line="560" w:lineRule="exact"/>
        <w:ind w:firstLine="640" w:firstLineChars="200"/>
        <w:jc w:val="left"/>
        <w:rPr>
          <w:rFonts w:hint="eastAsia" w:ascii="黑体" w:hAnsi="黑体" w:eastAsia="黑体" w:cs="黑体"/>
          <w:bCs/>
          <w:sz w:val="32"/>
          <w:szCs w:val="32"/>
          <w:lang w:val="en-US" w:eastAsia="zh-CN"/>
        </w:rPr>
      </w:pPr>
    </w:p>
    <w:p>
      <w:pPr>
        <w:widowControl w:val="0"/>
        <w:numPr>
          <w:ilvl w:val="0"/>
          <w:numId w:val="0"/>
        </w:numPr>
        <w:spacing w:beforeAutospacing="0" w:afterAutospacing="0" w:line="560" w:lineRule="exact"/>
        <w:ind w:firstLine="640" w:firstLineChars="200"/>
        <w:jc w:val="left"/>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四、政府信息公开行政复议、行政诉讼情况</w:t>
      </w:r>
    </w:p>
    <w:tbl>
      <w:tblPr>
        <w:tblStyle w:val="5"/>
        <w:tblW w:w="9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9"/>
        <w:gridCol w:w="649"/>
        <w:gridCol w:w="649"/>
        <w:gridCol w:w="649"/>
        <w:gridCol w:w="649"/>
        <w:gridCol w:w="649"/>
        <w:gridCol w:w="649"/>
        <w:gridCol w:w="650"/>
        <w:gridCol w:w="650"/>
        <w:gridCol w:w="650"/>
        <w:gridCol w:w="650"/>
        <w:gridCol w:w="650"/>
        <w:gridCol w:w="650"/>
        <w:gridCol w:w="650"/>
        <w:gridCol w:w="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3245"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行政复议</w:t>
            </w:r>
          </w:p>
        </w:tc>
        <w:tc>
          <w:tcPr>
            <w:tcW w:w="6498"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4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结果维持</w:t>
            </w:r>
          </w:p>
        </w:tc>
        <w:tc>
          <w:tcPr>
            <w:tcW w:w="64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纠正</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其他</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结果</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尚未</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审结</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总计</w:t>
            </w:r>
          </w:p>
        </w:tc>
        <w:tc>
          <w:tcPr>
            <w:tcW w:w="324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未经复议直接起诉</w:t>
            </w:r>
          </w:p>
        </w:tc>
        <w:tc>
          <w:tcPr>
            <w:tcW w:w="325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49" w:type="dxa"/>
            <w:vMerge w:val="continue"/>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color w:val="333333"/>
                <w:sz w:val="21"/>
                <w:szCs w:val="21"/>
              </w:rPr>
            </w:pPr>
          </w:p>
        </w:tc>
        <w:tc>
          <w:tcPr>
            <w:tcW w:w="649" w:type="dxa"/>
            <w:vMerge w:val="continue"/>
            <w:tcBorders>
              <w:top w:val="nil"/>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color w:val="333333"/>
                <w:sz w:val="21"/>
                <w:szCs w:val="21"/>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color w:val="333333"/>
                <w:sz w:val="21"/>
                <w:szCs w:val="21"/>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color w:val="333333"/>
                <w:sz w:val="21"/>
                <w:szCs w:val="21"/>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宋体" w:hAnsi="宋体" w:eastAsia="宋体" w:cs="宋体"/>
                <w:color w:val="333333"/>
                <w:sz w:val="21"/>
                <w:szCs w:val="21"/>
              </w:rPr>
            </w:pP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维持</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纠正</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其他</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结果</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尚未</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审结</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总计</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维持</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结果</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纠正</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333333"/>
                <w:kern w:val="0"/>
                <w:sz w:val="20"/>
                <w:szCs w:val="20"/>
                <w:lang w:val="en-US" w:eastAsia="zh-CN" w:bidi="ar"/>
              </w:rPr>
              <w:t>尚未</w:t>
            </w:r>
            <w:r>
              <w:rPr>
                <w:rFonts w:hint="eastAsia" w:ascii="宋体" w:hAnsi="宋体" w:eastAsia="宋体" w:cs="宋体"/>
                <w:color w:val="333333"/>
                <w:kern w:val="0"/>
                <w:sz w:val="20"/>
                <w:szCs w:val="20"/>
                <w:lang w:val="en-US" w:eastAsia="zh-CN" w:bidi="ar"/>
              </w:rPr>
              <w:br w:type="textWrapping"/>
            </w:r>
            <w:r>
              <w:rPr>
                <w:rFonts w:hint="eastAsia" w:ascii="宋体" w:hAnsi="宋体" w:eastAsia="宋体" w:cs="宋体"/>
                <w:color w:val="333333"/>
                <w:kern w:val="0"/>
                <w:sz w:val="20"/>
                <w:szCs w:val="20"/>
                <w:lang w:val="en-US" w:eastAsia="zh-CN" w:bidi="ar"/>
              </w:rPr>
              <w:t>审结</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宋体" w:hAnsi="宋体" w:eastAsia="宋体" w:cs="宋体"/>
                <w:color w:val="000000"/>
                <w:kern w:val="0"/>
                <w:sz w:val="20"/>
                <w:szCs w:val="20"/>
                <w:lang w:val="en-US" w:eastAsia="zh-CN" w:bidi="ar"/>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2" w:hRule="atLeast"/>
          <w:jc w:val="center"/>
        </w:trPr>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default"/>
                <w:lang w:val="en-US"/>
              </w:rPr>
            </w:pPr>
            <w:r>
              <w:rPr>
                <w:rFonts w:hint="eastAsia" w:ascii="黑体" w:hAnsi="宋体" w:eastAsia="黑体" w:cs="黑体"/>
                <w:color w:val="333333"/>
                <w:kern w:val="2"/>
                <w:sz w:val="20"/>
                <w:szCs w:val="20"/>
                <w:lang w:val="en-US" w:eastAsia="zh-CN" w:bidi="ar"/>
              </w:rPr>
              <w:t>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黑体" w:hAnsi="宋体" w:eastAsia="黑体" w:cs="黑体"/>
                <w:color w:val="333333"/>
                <w:kern w:val="2"/>
                <w:sz w:val="20"/>
                <w:szCs w:val="20"/>
                <w:lang w:val="en-US" w:eastAsia="zh-CN" w:bidi="ar"/>
              </w:rPr>
              <w:t>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eastAsia" w:eastAsiaTheme="minorEastAsia"/>
                <w:lang w:val="en-US" w:eastAsia="zh-CN"/>
              </w:rPr>
            </w:pPr>
            <w:r>
              <w:rPr>
                <w:rFonts w:hint="eastAsia"/>
                <w:lang w:val="en-US" w:eastAsia="zh-CN"/>
              </w:rPr>
              <w:t>1</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default"/>
                <w:lang w:val="en-US"/>
              </w:rPr>
            </w:pPr>
            <w:r>
              <w:rPr>
                <w:rFonts w:hint="eastAsia" w:ascii="黑体" w:hAnsi="宋体" w:eastAsia="黑体" w:cs="黑体"/>
                <w:color w:val="333333"/>
                <w:kern w:val="2"/>
                <w:sz w:val="20"/>
                <w:szCs w:val="20"/>
                <w:lang w:val="en-US" w:eastAsia="zh-CN" w:bidi="ar"/>
              </w:rPr>
              <w:t>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eastAsia" w:eastAsiaTheme="minorEastAsia"/>
                <w:lang w:val="en-US" w:eastAsia="zh-CN"/>
              </w:rPr>
            </w:pPr>
            <w:r>
              <w:rPr>
                <w:rFonts w:hint="eastAsia"/>
                <w:lang w:val="en-US" w:eastAsia="zh-CN"/>
              </w:rPr>
              <w:t>1</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eastAsia" w:eastAsiaTheme="minorEastAsia"/>
                <w:lang w:val="en-US" w:eastAsia="zh-CN"/>
              </w:rPr>
            </w:pPr>
            <w:r>
              <w:rPr>
                <w:rFonts w:hint="eastAsia"/>
                <w:lang w:val="en-US" w:eastAsia="zh-CN"/>
              </w:rPr>
              <w:t>2</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default"/>
                <w:lang w:val="en-US"/>
              </w:rPr>
            </w:pPr>
            <w:r>
              <w:rPr>
                <w:rFonts w:hint="eastAsia" w:ascii="黑体" w:hAnsi="宋体" w:eastAsia="黑体" w:cs="黑体"/>
                <w:color w:val="333333"/>
                <w:kern w:val="2"/>
                <w:sz w:val="20"/>
                <w:szCs w:val="20"/>
                <w:lang w:val="en-US" w:eastAsia="zh-CN" w:bidi="ar"/>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eastAsia" w:eastAsiaTheme="minorEastAsia"/>
                <w:lang w:val="en-US" w:eastAsia="zh-CN"/>
              </w:rPr>
            </w:pPr>
            <w:r>
              <w:rPr>
                <w:rFonts w:hint="eastAsia"/>
                <w:lang w:val="en-US" w:eastAsia="zh-CN"/>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default"/>
                <w:lang w:val="en-US"/>
              </w:rPr>
            </w:pPr>
            <w:r>
              <w:rPr>
                <w:rFonts w:hint="eastAsia" w:ascii="黑体" w:hAnsi="宋体" w:eastAsia="黑体" w:cs="黑体"/>
                <w:color w:val="333333"/>
                <w:kern w:val="2"/>
                <w:sz w:val="20"/>
                <w:szCs w:val="20"/>
                <w:lang w:val="en-US" w:eastAsia="zh-CN" w:bidi="ar"/>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default" w:eastAsiaTheme="minorEastAsia"/>
                <w:lang w:val="en-US" w:eastAsia="zh-CN"/>
              </w:rPr>
            </w:pPr>
            <w:r>
              <w:rPr>
                <w:rFonts w:hint="eastAsia"/>
                <w:lang w:val="en-US" w:eastAsia="zh-CN"/>
              </w:rPr>
              <w:t>2</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eastAsia" w:eastAsiaTheme="minorEastAsia"/>
                <w:lang w:val="en-US" w:eastAsia="zh-CN"/>
              </w:rPr>
            </w:pPr>
            <w:r>
              <w:rPr>
                <w:rFonts w:hint="eastAsia"/>
                <w:lang w:val="en-US" w:eastAsia="zh-CN"/>
              </w:rPr>
              <w:t>1</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黑体" w:hAnsi="宋体" w:eastAsia="黑体" w:cs="黑体"/>
                <w:color w:val="333333"/>
                <w:kern w:val="2"/>
                <w:sz w:val="20"/>
                <w:szCs w:val="20"/>
                <w:lang w:val="en-US" w:eastAsia="zh-CN" w:bidi="ar"/>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pPr>
            <w:r>
              <w:rPr>
                <w:rFonts w:hint="eastAsia" w:ascii="黑体" w:hAnsi="宋体" w:eastAsia="黑体" w:cs="黑体"/>
                <w:color w:val="333333"/>
                <w:kern w:val="2"/>
                <w:sz w:val="20"/>
                <w:szCs w:val="20"/>
                <w:lang w:val="en-US" w:eastAsia="zh-CN" w:bidi="ar"/>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30" w:lineRule="atLeast"/>
              <w:ind w:left="0" w:leftChars="0" w:right="0" w:rightChars="0" w:firstLine="0" w:firstLineChars="0"/>
              <w:jc w:val="center"/>
              <w:rPr>
                <w:rFonts w:hint="default"/>
                <w:lang w:val="en-US"/>
              </w:rPr>
            </w:pPr>
            <w:r>
              <w:rPr>
                <w:rFonts w:hint="eastAsia" w:ascii="黑体" w:hAnsi="宋体" w:eastAsia="黑体" w:cs="黑体"/>
                <w:color w:val="333333"/>
                <w:kern w:val="2"/>
                <w:sz w:val="20"/>
                <w:szCs w:val="20"/>
                <w:lang w:val="en-US" w:eastAsia="zh-CN" w:bidi="ar"/>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宋体" w:hAnsi="宋体" w:eastAsia="宋体" w:cs="宋体"/>
                <w:color w:val="333333"/>
                <w:sz w:val="21"/>
                <w:szCs w:val="21"/>
                <w:lang w:val="en-US" w:eastAsia="zh-CN"/>
              </w:rPr>
            </w:pPr>
            <w:r>
              <w:rPr>
                <w:rFonts w:hint="eastAsia" w:ascii="宋体" w:hAnsi="宋体" w:eastAsia="宋体" w:cs="宋体"/>
                <w:color w:val="333333"/>
                <w:sz w:val="21"/>
                <w:szCs w:val="21"/>
                <w:lang w:val="en-US" w:eastAsia="zh-CN"/>
              </w:rPr>
              <w:t>1</w:t>
            </w:r>
          </w:p>
        </w:tc>
      </w:tr>
    </w:tbl>
    <w:p>
      <w:pPr>
        <w:widowControl w:val="0"/>
        <w:numPr>
          <w:ilvl w:val="0"/>
          <w:numId w:val="0"/>
        </w:numPr>
        <w:spacing w:beforeAutospacing="0" w:afterAutospacing="0" w:line="560" w:lineRule="exact"/>
        <w:ind w:leftChars="31" w:firstLine="640" w:firstLineChars="200"/>
        <w:jc w:val="left"/>
        <w:rPr>
          <w:rFonts w:hint="eastAsia" w:ascii="黑体" w:hAnsi="黑体" w:eastAsia="黑体" w:cs="黑体"/>
          <w:bCs/>
          <w:sz w:val="32"/>
          <w:szCs w:val="32"/>
          <w:lang w:val="en-US" w:eastAsia="zh-CN"/>
        </w:rPr>
      </w:pPr>
    </w:p>
    <w:p>
      <w:pPr>
        <w:widowControl w:val="0"/>
        <w:numPr>
          <w:ilvl w:val="0"/>
          <w:numId w:val="0"/>
        </w:numPr>
        <w:spacing w:beforeAutospacing="0" w:afterAutospacing="0" w:line="560" w:lineRule="exact"/>
        <w:ind w:leftChars="31" w:firstLine="640" w:firstLineChars="200"/>
        <w:jc w:val="left"/>
        <w:rPr>
          <w:rFonts w:hint="eastAsia" w:ascii="黑体" w:hAnsi="黑体" w:eastAsia="黑体" w:cs="黑体"/>
          <w:bCs/>
          <w:sz w:val="32"/>
          <w:szCs w:val="32"/>
          <w:lang w:val="en-US" w:eastAsia="zh-CN"/>
        </w:rPr>
      </w:pPr>
    </w:p>
    <w:p>
      <w:pPr>
        <w:widowControl w:val="0"/>
        <w:numPr>
          <w:ilvl w:val="0"/>
          <w:numId w:val="0"/>
        </w:numPr>
        <w:spacing w:beforeAutospacing="0" w:afterAutospacing="0" w:line="560" w:lineRule="exact"/>
        <w:ind w:leftChars="31" w:firstLine="640" w:firstLineChars="200"/>
        <w:jc w:val="left"/>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五、存在的主要问题及改进情况</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2022年，我局政府信息公开工作取得了一定成绩，但与上级要求、群众期盼相比还有一定差距，主要表现在：一是主动公开政府信息的意识还不够强，公开内容仅局限于栏目设定内容，公开工作缺乏一定的延展性；二是信息审核力度有待提升。下一步将采取以下措施：一是强化政府信息公开工作培训，切实提高工作人员对政府信息公开工作的认识水平和工作能力，增强公开的主动性；二是加强信息发布审核力度，坚持分级分类审核、先审后发，严把政治关、保密关、文字关，严禁发布未审核信息。</w:t>
      </w:r>
    </w:p>
    <w:p>
      <w:pPr>
        <w:widowControl w:val="0"/>
        <w:numPr>
          <w:ilvl w:val="0"/>
          <w:numId w:val="0"/>
        </w:numPr>
        <w:spacing w:beforeAutospacing="0" w:afterAutospacing="0" w:line="560" w:lineRule="exact"/>
        <w:ind w:leftChars="31" w:firstLine="640" w:firstLineChars="200"/>
        <w:jc w:val="left"/>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六、其他需要报告的事项</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（一）政府信息公开信息处理费收取情况</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本年度未收取信息处理费。</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（二）人大代表建议和政协提案办理结果公开情况</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承办胶州人大代表建议、政协委员提案1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件（其中承办</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件，协办</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件），全部按时办理完毕并答复，办结答复率100%。</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（三）落实2022年省、市两级政务公开工作要点情况</w:t>
      </w:r>
    </w:p>
    <w:p>
      <w:pPr>
        <w:widowControl w:val="0"/>
        <w:numPr>
          <w:ilvl w:val="0"/>
          <w:numId w:val="0"/>
        </w:numPr>
        <w:spacing w:beforeAutospacing="0" w:afterAutospacing="0" w:line="56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认真落实上级部署的政务公开年度工作任务，学习省、市两级</w:t>
      </w:r>
      <w:r>
        <w:rPr>
          <w:rFonts w:hint="eastAsia" w:ascii="仿宋_GB2312" w:hAnsi="仿宋_GB2312" w:eastAsia="仿宋_GB2312" w:cs="仿宋_GB2312"/>
          <w:sz w:val="32"/>
          <w:szCs w:val="32"/>
          <w:lang w:eastAsia="zh-CN"/>
        </w:rPr>
        <w:t>政务公开工作要点，</w:t>
      </w:r>
      <w:r>
        <w:rPr>
          <w:rFonts w:hint="eastAsia" w:ascii="仿宋_GB2312" w:hAnsi="仿宋_GB2312" w:eastAsia="仿宋_GB2312" w:cs="仿宋_GB2312"/>
          <w:sz w:val="32"/>
          <w:szCs w:val="32"/>
          <w:lang w:val="en-US" w:eastAsia="zh-CN"/>
        </w:rPr>
        <w:t>以此为工作指引，不断拓宽政务公开渠道，切实提升政务公开标准化规范化水平，推动我局</w:t>
      </w:r>
      <w:r>
        <w:rPr>
          <w:rFonts w:hint="eastAsia" w:ascii="仿宋_GB2312" w:hAnsi="仿宋_GB2312" w:eastAsia="仿宋_GB2312" w:cs="仿宋_GB2312"/>
          <w:sz w:val="32"/>
          <w:szCs w:val="32"/>
          <w:lang w:eastAsia="zh-CN"/>
        </w:rPr>
        <w:t>政务公开工作持续开展。</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（四）年度政务公开工作创新情况</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微信公众号、微博等平台，公开部门的职能职责、办事指南、相关政策法规等政务服务内容，通过平台“听”民声、“答”民疑、“解”民忧，让普通民众“看得到、听得懂、能监督”的方式回应关切、释疑解惑，了解民生、关注民意、解决民愿。</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（五）政府信息公开工作年度报告数据统计需要说明的事项</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本年度报告中所列数据的统计期限自2022年1月1日至2022年12月31日。</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无其他需要报告的事项。</w:t>
      </w:r>
    </w:p>
    <w:p>
      <w:pPr>
        <w:widowControl w:val="0"/>
        <w:numPr>
          <w:ilvl w:val="0"/>
          <w:numId w:val="0"/>
        </w:numPr>
        <w:spacing w:beforeAutospacing="0" w:afterAutospacing="0" w:line="560" w:lineRule="exact"/>
        <w:ind w:firstLine="640" w:firstLineChars="200"/>
        <w:jc w:val="left"/>
        <w:rPr>
          <w:rFonts w:hint="eastAsia" w:ascii="仿宋_GB2312" w:hAnsi="仿宋_GB2312" w:eastAsia="仿宋_GB2312" w:cs="仿宋_GB2312"/>
          <w:sz w:val="32"/>
          <w:szCs w:val="32"/>
          <w:lang w:val="en-US" w:eastAsia="zh-CN"/>
        </w:rPr>
      </w:pP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ln w="6350">
                        <a:noFill/>
                      </a:ln>
                      <a:effectLst/>
                    </wps:spPr>
                    <wps:txbx>
                      <w:txbxContent>
                        <w:p>
                          <w:pPr>
                            <w:pStyle w:val="2"/>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2</w:t>
                          </w:r>
                          <w:r>
                            <w:rPr>
                              <w:rFonts w:ascii="Times New Roman" w:hAnsi="Times New Roman" w:cs="Times New Roman"/>
                              <w:sz w:val="24"/>
                            </w:rPr>
                            <w:fldChar w:fldCharType="end"/>
                          </w:r>
                          <w:r>
                            <w:rPr>
                              <w:rFonts w:ascii="Times New Roman" w:hAnsi="Times New Roman" w:cs="Times New Roman"/>
                              <w:sz w:val="24"/>
                            </w:rPr>
                            <w:t xml:space="preserve"> —</w:t>
                          </w:r>
                        </w:p>
                      </w:txbxContent>
                    </wps:txbx>
                    <wps:bodyPr rot="0"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0lY7tAAAAAFAQAADwAA&#10;AAAAAAABACAAAAAiAAAAZHJzL2Rvd25yZXYueG1sUEsBAhQAFAAAAAgAh07iQN5lRaTlAQAAxgMA&#10;AA4AAAAAAAAAAQAgAAAAHwEAAGRycy9lMm9Eb2MueG1sUEsFBgAAAAAGAAYAWQEAAHYFAAAAAA==&#10;">
              <v:fill on="f" focussize="0,0"/>
              <v:stroke on="f" weight="0.5pt"/>
              <v:imagedata o:title=""/>
              <o:lock v:ext="edit" aspectratio="f"/>
              <v:textbox inset="0mm,0mm,0mm,0mm" style="mso-fit-shape-to-text:t;">
                <w:txbxContent>
                  <w:p>
                    <w:pPr>
                      <w:pStyle w:val="2"/>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2</w:t>
                    </w:r>
                    <w:r>
                      <w:rPr>
                        <w:rFonts w:ascii="Times New Roman" w:hAnsi="Times New Roman" w:cs="Times New Roman"/>
                        <w:sz w:val="24"/>
                      </w:rPr>
                      <w:fldChar w:fldCharType="end"/>
                    </w:r>
                    <w:r>
                      <w:rPr>
                        <w:rFonts w:ascii="Times New Roman" w:hAnsi="Times New Roman" w:cs="Times New Roman"/>
                        <w:sz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AEABE7"/>
    <w:multiLevelType w:val="singleLevel"/>
    <w:tmpl w:val="49AEABE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4ZDI1M2I3MmVjNThjNDIwMTE1ODc3N2NhMGRlMWYifQ=="/>
  </w:docVars>
  <w:rsids>
    <w:rsidRoot w:val="001C051B"/>
    <w:rsid w:val="00042B14"/>
    <w:rsid w:val="00092317"/>
    <w:rsid w:val="000D6C48"/>
    <w:rsid w:val="001C051B"/>
    <w:rsid w:val="001E00CC"/>
    <w:rsid w:val="00202465"/>
    <w:rsid w:val="0023416E"/>
    <w:rsid w:val="00254BB2"/>
    <w:rsid w:val="00277BCE"/>
    <w:rsid w:val="0032183B"/>
    <w:rsid w:val="00356B70"/>
    <w:rsid w:val="003B5659"/>
    <w:rsid w:val="003B5C9F"/>
    <w:rsid w:val="003D25E1"/>
    <w:rsid w:val="003E782D"/>
    <w:rsid w:val="00401C5A"/>
    <w:rsid w:val="00420610"/>
    <w:rsid w:val="00445BDE"/>
    <w:rsid w:val="004819B9"/>
    <w:rsid w:val="005224D2"/>
    <w:rsid w:val="005261DA"/>
    <w:rsid w:val="006224CC"/>
    <w:rsid w:val="00637848"/>
    <w:rsid w:val="00641A28"/>
    <w:rsid w:val="006D00E6"/>
    <w:rsid w:val="00711374"/>
    <w:rsid w:val="00760288"/>
    <w:rsid w:val="008858E8"/>
    <w:rsid w:val="008F5EC6"/>
    <w:rsid w:val="00932939"/>
    <w:rsid w:val="00940B3A"/>
    <w:rsid w:val="009C68B4"/>
    <w:rsid w:val="00A11804"/>
    <w:rsid w:val="00A54D9B"/>
    <w:rsid w:val="00A63016"/>
    <w:rsid w:val="00A7685A"/>
    <w:rsid w:val="00AB50A4"/>
    <w:rsid w:val="00B712F8"/>
    <w:rsid w:val="00C24F99"/>
    <w:rsid w:val="00C7001D"/>
    <w:rsid w:val="00C71BFF"/>
    <w:rsid w:val="00D112F6"/>
    <w:rsid w:val="00D243B0"/>
    <w:rsid w:val="00D56D34"/>
    <w:rsid w:val="00D86FA8"/>
    <w:rsid w:val="00DF63E0"/>
    <w:rsid w:val="00E43452"/>
    <w:rsid w:val="00EB62AF"/>
    <w:rsid w:val="00FA1172"/>
    <w:rsid w:val="00FC2975"/>
    <w:rsid w:val="00FE5E67"/>
    <w:rsid w:val="02017E14"/>
    <w:rsid w:val="029A1FF2"/>
    <w:rsid w:val="037C50F2"/>
    <w:rsid w:val="03ED571C"/>
    <w:rsid w:val="03FF396C"/>
    <w:rsid w:val="0479318D"/>
    <w:rsid w:val="050E6613"/>
    <w:rsid w:val="059058F9"/>
    <w:rsid w:val="07F6072D"/>
    <w:rsid w:val="089F4AAC"/>
    <w:rsid w:val="08B943B2"/>
    <w:rsid w:val="08EC0C19"/>
    <w:rsid w:val="09E01566"/>
    <w:rsid w:val="0C631388"/>
    <w:rsid w:val="0C933755"/>
    <w:rsid w:val="0D887E6C"/>
    <w:rsid w:val="15040DFB"/>
    <w:rsid w:val="166F61D8"/>
    <w:rsid w:val="17123C91"/>
    <w:rsid w:val="1713027F"/>
    <w:rsid w:val="190A428C"/>
    <w:rsid w:val="192D38EB"/>
    <w:rsid w:val="19611235"/>
    <w:rsid w:val="1AA35419"/>
    <w:rsid w:val="1AA66FBB"/>
    <w:rsid w:val="1AE03EC5"/>
    <w:rsid w:val="1B1A52C1"/>
    <w:rsid w:val="1B5E5A7B"/>
    <w:rsid w:val="1CAF38E1"/>
    <w:rsid w:val="1CD83F85"/>
    <w:rsid w:val="1D3F4933"/>
    <w:rsid w:val="1D4D182F"/>
    <w:rsid w:val="1D8B112D"/>
    <w:rsid w:val="1E4273E4"/>
    <w:rsid w:val="1E7D7907"/>
    <w:rsid w:val="1EBC3870"/>
    <w:rsid w:val="1ECB7953"/>
    <w:rsid w:val="21642211"/>
    <w:rsid w:val="22AA563C"/>
    <w:rsid w:val="22CB6769"/>
    <w:rsid w:val="23B819CC"/>
    <w:rsid w:val="26AF0F50"/>
    <w:rsid w:val="27D839B1"/>
    <w:rsid w:val="28027134"/>
    <w:rsid w:val="2B9830F8"/>
    <w:rsid w:val="2C675621"/>
    <w:rsid w:val="2EB45BB2"/>
    <w:rsid w:val="2F165D17"/>
    <w:rsid w:val="2FBC04E2"/>
    <w:rsid w:val="2FE907EA"/>
    <w:rsid w:val="31964870"/>
    <w:rsid w:val="31BB7257"/>
    <w:rsid w:val="32985759"/>
    <w:rsid w:val="33DA75BC"/>
    <w:rsid w:val="36871453"/>
    <w:rsid w:val="3704006A"/>
    <w:rsid w:val="38B8179D"/>
    <w:rsid w:val="3A9E318A"/>
    <w:rsid w:val="3AAA53F4"/>
    <w:rsid w:val="3B0B6B11"/>
    <w:rsid w:val="3BBD5865"/>
    <w:rsid w:val="3BC3531C"/>
    <w:rsid w:val="3CB92818"/>
    <w:rsid w:val="3D952B40"/>
    <w:rsid w:val="3DFE3493"/>
    <w:rsid w:val="3E8317B4"/>
    <w:rsid w:val="3EFF5E69"/>
    <w:rsid w:val="3FE061C1"/>
    <w:rsid w:val="40FF3660"/>
    <w:rsid w:val="411845BD"/>
    <w:rsid w:val="41CA476E"/>
    <w:rsid w:val="43776FBB"/>
    <w:rsid w:val="43EF1F9C"/>
    <w:rsid w:val="45863281"/>
    <w:rsid w:val="45BE2D72"/>
    <w:rsid w:val="472B40E0"/>
    <w:rsid w:val="47D544DC"/>
    <w:rsid w:val="48317754"/>
    <w:rsid w:val="49C079B5"/>
    <w:rsid w:val="4B914A47"/>
    <w:rsid w:val="4B9D30D2"/>
    <w:rsid w:val="4BD06004"/>
    <w:rsid w:val="4C991C31"/>
    <w:rsid w:val="4EC1538E"/>
    <w:rsid w:val="50C00528"/>
    <w:rsid w:val="514527E1"/>
    <w:rsid w:val="51CF24D9"/>
    <w:rsid w:val="51F11375"/>
    <w:rsid w:val="51F3766D"/>
    <w:rsid w:val="52481FEA"/>
    <w:rsid w:val="53D8739D"/>
    <w:rsid w:val="541077CA"/>
    <w:rsid w:val="547D6C8F"/>
    <w:rsid w:val="54E922C9"/>
    <w:rsid w:val="55083CB2"/>
    <w:rsid w:val="553D2B75"/>
    <w:rsid w:val="56EE662F"/>
    <w:rsid w:val="59525DE4"/>
    <w:rsid w:val="596D0242"/>
    <w:rsid w:val="59D01252"/>
    <w:rsid w:val="5ABC143D"/>
    <w:rsid w:val="5BE7326B"/>
    <w:rsid w:val="5CE60412"/>
    <w:rsid w:val="5E707849"/>
    <w:rsid w:val="60061CDF"/>
    <w:rsid w:val="602D35A1"/>
    <w:rsid w:val="61974B52"/>
    <w:rsid w:val="61CD258C"/>
    <w:rsid w:val="621A114C"/>
    <w:rsid w:val="62A32CCC"/>
    <w:rsid w:val="63913530"/>
    <w:rsid w:val="639A6CEA"/>
    <w:rsid w:val="67952139"/>
    <w:rsid w:val="67D16A03"/>
    <w:rsid w:val="686615E7"/>
    <w:rsid w:val="698575BE"/>
    <w:rsid w:val="69DB3C6B"/>
    <w:rsid w:val="6BEE13D4"/>
    <w:rsid w:val="6C04085F"/>
    <w:rsid w:val="6CE453A5"/>
    <w:rsid w:val="6D77332B"/>
    <w:rsid w:val="6DC704EF"/>
    <w:rsid w:val="6DD8478F"/>
    <w:rsid w:val="6DFD5211"/>
    <w:rsid w:val="6E7707EC"/>
    <w:rsid w:val="6FD877F7"/>
    <w:rsid w:val="718F3391"/>
    <w:rsid w:val="744544E9"/>
    <w:rsid w:val="751239E4"/>
    <w:rsid w:val="7532779D"/>
    <w:rsid w:val="76223FC4"/>
    <w:rsid w:val="76447543"/>
    <w:rsid w:val="76875EB1"/>
    <w:rsid w:val="76DC74FF"/>
    <w:rsid w:val="770135F9"/>
    <w:rsid w:val="78E1393E"/>
    <w:rsid w:val="79330A4E"/>
    <w:rsid w:val="79D37ED2"/>
    <w:rsid w:val="7A886B78"/>
    <w:rsid w:val="7AD959D2"/>
    <w:rsid w:val="7AF25478"/>
    <w:rsid w:val="7B3236CF"/>
    <w:rsid w:val="7BA479E1"/>
    <w:rsid w:val="7BC43D95"/>
    <w:rsid w:val="7C056A60"/>
    <w:rsid w:val="7DC730C4"/>
    <w:rsid w:val="7E35636F"/>
    <w:rsid w:val="7ED45A22"/>
    <w:rsid w:val="7FBE65C8"/>
    <w:rsid w:val="FF729C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FollowedHyperlink"/>
    <w:basedOn w:val="6"/>
    <w:uiPriority w:val="0"/>
    <w:rPr>
      <w:color w:val="000000"/>
      <w:u w:val="none"/>
    </w:rPr>
  </w:style>
  <w:style w:type="character" w:styleId="8">
    <w:name w:val="Hyperlink"/>
    <w:basedOn w:val="6"/>
    <w:uiPriority w:val="0"/>
    <w:rPr>
      <w:color w:val="000000"/>
      <w:u w:val="none"/>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2436</Words>
  <Characters>2545</Characters>
  <Lines>1</Lines>
  <Paragraphs>2</Paragraphs>
  <TotalTime>14</TotalTime>
  <ScaleCrop>false</ScaleCrop>
  <LinksUpToDate>false</LinksUpToDate>
  <CharactersWithSpaces>2551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2021-09-07T17:24:00Z</dcterms:created>
  <dc:creator>lenovo</dc:creator>
  <cp:lastModifiedBy>WPS_1477448990</cp:lastModifiedBy>
  <dcterms:modified xsi:type="dcterms:W3CDTF">2023-02-21T03:05:54Z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7FD7D328085D4EA09A835C0DE3E0D93A</vt:lpwstr>
  </property>
</Properties>
</file>