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5" w:lineRule="atLeast"/>
        <w:jc w:val="center"/>
        <w:outlineLvl w:val="1"/>
        <w:rPr>
          <w:rFonts w:ascii="Arial" w:hAnsi="Arial" w:eastAsia="宋体" w:cs="Arial"/>
          <w:b/>
          <w:bCs/>
          <w:color w:val="auto"/>
          <w:w w:val="100"/>
          <w:kern w:val="0"/>
          <w:sz w:val="36"/>
          <w:szCs w:val="36"/>
        </w:rPr>
      </w:pPr>
      <w:r>
        <w:rPr>
          <w:rFonts w:ascii="Arial" w:hAnsi="Arial" w:eastAsia="宋体" w:cs="Arial"/>
          <w:b/>
          <w:bCs/>
          <w:color w:val="auto"/>
          <w:w w:val="100"/>
          <w:kern w:val="0"/>
          <w:sz w:val="36"/>
          <w:szCs w:val="36"/>
        </w:rPr>
        <w:t>胶州市教育和体育局202</w:t>
      </w:r>
      <w:r>
        <w:rPr>
          <w:rFonts w:hint="eastAsia" w:ascii="Arial" w:hAnsi="Arial" w:eastAsia="宋体" w:cs="Arial"/>
          <w:b/>
          <w:bCs/>
          <w:color w:val="auto"/>
          <w:w w:val="100"/>
          <w:kern w:val="0"/>
          <w:sz w:val="36"/>
          <w:szCs w:val="36"/>
        </w:rPr>
        <w:t>2</w:t>
      </w:r>
      <w:r>
        <w:rPr>
          <w:rFonts w:ascii="Arial" w:hAnsi="Arial" w:eastAsia="宋体" w:cs="Arial"/>
          <w:b/>
          <w:bCs/>
          <w:color w:val="auto"/>
          <w:w w:val="100"/>
          <w:kern w:val="0"/>
          <w:sz w:val="36"/>
          <w:szCs w:val="36"/>
        </w:rPr>
        <w:t>年</w:t>
      </w:r>
      <w:r>
        <w:rPr>
          <w:rFonts w:hint="eastAsia" w:ascii="Arial" w:hAnsi="Arial" w:eastAsia="宋体" w:cs="Arial"/>
          <w:b/>
          <w:bCs/>
          <w:color w:val="auto"/>
          <w:w w:val="100"/>
          <w:kern w:val="0"/>
          <w:sz w:val="36"/>
          <w:szCs w:val="36"/>
          <w:lang w:val="en-US" w:eastAsia="zh-CN"/>
        </w:rPr>
        <w:t>政府</w:t>
      </w:r>
      <w:r>
        <w:rPr>
          <w:rFonts w:ascii="Arial" w:hAnsi="Arial" w:eastAsia="宋体" w:cs="Arial"/>
          <w:b/>
          <w:bCs/>
          <w:color w:val="auto"/>
          <w:w w:val="100"/>
          <w:kern w:val="0"/>
          <w:sz w:val="36"/>
          <w:szCs w:val="36"/>
        </w:rPr>
        <w:t>信息公开工作年度报告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hint="eastAsia" w:ascii="仿宋_GB2312" w:hAnsi="Arial" w:eastAsia="仿宋_GB2312" w:cs="Arial"/>
          <w:color w:val="auto"/>
          <w:w w:val="100"/>
          <w:kern w:val="0"/>
        </w:rPr>
      </w:pP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本报告根据《中华人民共和国政府信息公开条例》（国务院令第711号，以下简称《条例》）第五十条规定要求编制，全文包括总体情况、主动公开政府信息情况、收到和处理政府信息公开申请情况、因政府信息公开工作被申请行政复议和提起行政诉讼情况、政府信息公开工作存在的主要问题及改进情况、其他需要报告的事项。本年度报告中所列数据统计期限从2022年1月1日到12月31日止。本报告的电子版可在“胶州政务网”下载。如对本报告有任何疑问，请与市教育体育局政策法规指导科（法规室）联系(地址：胶州市福州南路232号；邮编：266300；电话：0532-58566119；传真：0532-82233817；电子邮箱：aaa58566119@163.com)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黑体" w:hAnsi="黑体" w:eastAsia="黑体" w:cs="Arial"/>
          <w:color w:val="auto"/>
          <w:w w:val="100"/>
          <w:kern w:val="0"/>
        </w:rPr>
        <w:t>一、总体情况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2022年，在市委市政府的坚强领导下，市教育体育局</w:t>
      </w:r>
      <w:r>
        <w:rPr>
          <w:rFonts w:hint="eastAsia" w:ascii="仿宋_GB2312" w:hAnsi="Times New Roman" w:eastAsia="仿宋_GB2312"/>
          <w:color w:val="auto"/>
        </w:rPr>
        <w:t>以习近平新时代中国特色社会主义思想为指导，积极贯彻落实习近平总书记关于教育</w:t>
      </w:r>
      <w:r>
        <w:rPr>
          <w:rFonts w:hint="eastAsia" w:ascii="仿宋_GB2312" w:hAnsi="Times New Roman" w:eastAsia="仿宋_GB2312"/>
          <w:color w:val="auto"/>
          <w:lang w:val="en-US" w:eastAsia="zh-CN"/>
        </w:rPr>
        <w:t>工作</w:t>
      </w:r>
      <w:r>
        <w:rPr>
          <w:rFonts w:hint="eastAsia" w:ascii="仿宋_GB2312" w:hAnsi="Times New Roman" w:eastAsia="仿宋_GB2312"/>
          <w:color w:val="auto"/>
        </w:rPr>
        <w:t>的重要论述，坚持和加强党对教育</w:t>
      </w:r>
      <w:r>
        <w:rPr>
          <w:rFonts w:hint="eastAsia" w:ascii="仿宋_GB2312" w:hAnsi="Times New Roman" w:eastAsia="仿宋_GB2312"/>
          <w:color w:val="auto"/>
          <w:lang w:val="en-US" w:eastAsia="zh-CN"/>
        </w:rPr>
        <w:t>工作和</w:t>
      </w:r>
      <w:r>
        <w:rPr>
          <w:rFonts w:hint="eastAsia" w:ascii="仿宋_GB2312" w:hAnsi="Times New Roman" w:eastAsia="仿宋_GB2312"/>
          <w:color w:val="auto"/>
        </w:rPr>
        <w:t>体育工作的全面领导，全面贯彻党的教育方针，</w:t>
      </w:r>
      <w:r>
        <w:rPr>
          <w:rFonts w:hint="eastAsia" w:ascii="仿宋_GB2312" w:eastAsia="仿宋_GB2312"/>
          <w:color w:val="auto"/>
        </w:rPr>
        <w:t>坚持“单项工作争第一，整体工作创一流”，</w:t>
      </w:r>
      <w:r>
        <w:rPr>
          <w:rFonts w:hint="eastAsia" w:ascii="仿宋_GB2312" w:hAnsi="Times New Roman" w:eastAsia="仿宋_GB2312"/>
          <w:color w:val="auto"/>
          <w:kern w:val="0"/>
        </w:rPr>
        <w:t>开局抓作风、聚力谋发展，</w:t>
      </w:r>
      <w:r>
        <w:rPr>
          <w:rFonts w:hint="eastAsia" w:ascii="仿宋_GB2312" w:hAnsi="Times New Roman" w:eastAsia="仿宋_GB2312"/>
          <w:color w:val="auto"/>
        </w:rPr>
        <w:t>落实“立德树人”根本任务，围绕“安全、质量、特色、卓越”，办人</w:t>
      </w:r>
      <w:bookmarkStart w:id="0" w:name="_GoBack"/>
      <w:bookmarkEnd w:id="0"/>
      <w:r>
        <w:rPr>
          <w:rFonts w:hint="eastAsia" w:ascii="仿宋_GB2312" w:hAnsi="Times New Roman" w:eastAsia="仿宋_GB2312"/>
          <w:color w:val="auto"/>
        </w:rPr>
        <w:t>民满意的一流教育</w:t>
      </w:r>
      <w:r>
        <w:rPr>
          <w:rFonts w:hint="eastAsia" w:ascii="仿宋_GB2312" w:hAnsi="Arial" w:eastAsia="仿宋_GB2312" w:cs="Arial"/>
          <w:color w:val="auto"/>
          <w:w w:val="100"/>
          <w:kern w:val="0"/>
        </w:rPr>
        <w:t>，严格按照《山东省人民政府办公厅关于印发2022年山东省政务公开工作要点的通知》（鲁政办发〔2022〕5号）和《青岛市人民政府办公厅关于印发2022年青岛市政务公开工作要点的通知》（青政办字〔2022〕22号）及《胶州市人民政府办公室关于印发 2022 年胶州市政务公开工作要点的通知》（胶政办发〔2022〕22 号）要求，始终把政府信息公开作为重点工作之一，全力保障人民群众知晓教育体育工作的各项权利。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楷体_GB2312" w:hAnsi="Arial" w:eastAsia="楷体_GB2312" w:cs="Arial"/>
          <w:color w:val="auto"/>
          <w:w w:val="100"/>
          <w:kern w:val="0"/>
        </w:rPr>
        <w:t>（一）主动公开方面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截止2022年12月31日，主动发布政策文件11条并全部进行政策关联解读，主动公开部门信息4700余条。其中，通过胶州政务网公开3500余条，胶州政务网市教育体育局专页主动公开政府信息52条，通过“胶州教育体育”公众号等政务新媒体主动公开政府信息693条，通过各级媒体等其他方式主动公开政府信息500余条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楷体_GB2312" w:hAnsi="Arial" w:eastAsia="楷体_GB2312" w:cs="Arial"/>
          <w:color w:val="auto"/>
          <w:w w:val="100"/>
          <w:kern w:val="0"/>
        </w:rPr>
        <w:t>（二）依申请公开方面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2022年，市教育体育局共收到自然人依申请公开4件，依法依规按照法定时限答复。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楷体_GB2312" w:hAnsi="Arial" w:eastAsia="楷体_GB2312" w:cs="Arial"/>
          <w:color w:val="auto"/>
          <w:w w:val="100"/>
          <w:kern w:val="0"/>
        </w:rPr>
        <w:t>（三）政府信息管理方面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一是依法依规进行政务公开。将政府信息公开列入培训计划，政策法规科负责政府信息公开相关工作，按照上级文件要求做好贯彻落实，协调各科室、全市中小学共同做好此项工作。同时严格做好政府信息公开保密审查，确保公开信息不涉密、涉密信息不公开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二是及时准确确保高效便捷。制定各级各类学校招生工作意见，及时进行文件解读并全部公开。根据上级文件精神，市教育体育局联合市场监管等部门开展“双随机、一公开”检查62所校外培训机构，检查结果全部录入平台进行公开。对全市270所幼儿园和337处校外培训机构进行年检，结果全部公开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三是公开内容更加广泛丰富。通过官方微信公众号、胶州政务网、胶州政务网市教育体育局专页、《胶州教育体育专刊》、《致家长的一封信》等形式，将上级政策文件精神、教育体育发展成绩、疫情期间注意事项、师资培训、教育教学、教师风采、校舍建设、安全提醒、招聘考录、招生考试、法治宣传、职业教育、社区教育、家庭教育、机构培训等海量信息公开出去，便于群众及时了解掌握。通过政务微信发布信息数量793条，粉丝量达109656人。全年阅读总数达到276.6万，内容被转发233252次，点赞56658次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楷体_GB2312" w:hAnsi="Arial" w:eastAsia="楷体_GB2312" w:cs="Arial"/>
          <w:color w:val="auto"/>
          <w:w w:val="100"/>
          <w:kern w:val="0"/>
        </w:rPr>
        <w:t>（四）政府信息公开平台建设情况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一是以胶州政务网作为信息公开主渠道，胶州政务网市教育体育局专页和“胶州教育体育”微信公众号及报刊电视等多种媒体为辅助渠道,对教育体育相关信息及时进行公开和政策解读。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二是胶州政务网新建全市中小学政务公开版块，各学校按照《义务教育领域基层政务公开标准目录》公开内容进行常态化政务公开。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楷体_GB2312" w:hAnsi="Arial" w:eastAsia="楷体_GB2312" w:cs="Arial"/>
          <w:color w:val="auto"/>
          <w:w w:val="100"/>
          <w:kern w:val="0"/>
        </w:rPr>
        <w:t>（五）监督保障情况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根据《胶州市教育和体育局政府信息公开实施办法》《胶州市中小学（幼儿园）信息公开工作实施办法》，结合工作实际进一步完善和优化公开流程，使教育系统的政府信息公开工作有据可依、规范有序。</w:t>
      </w:r>
    </w:p>
    <w:p>
      <w:pPr>
        <w:widowControl/>
        <w:shd w:val="clear" w:color="auto" w:fill="FFFFFF"/>
        <w:spacing w:line="480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黑体" w:hAnsi="黑体" w:eastAsia="黑体" w:cs="Arial"/>
          <w:color w:val="auto"/>
          <w:w w:val="100"/>
          <w:kern w:val="0"/>
        </w:rPr>
        <w:t>二、主动公开政府信息情况</w:t>
      </w:r>
    </w:p>
    <w:tbl>
      <w:tblPr>
        <w:tblStyle w:val="11"/>
        <w:tblW w:w="15000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44"/>
        <w:gridCol w:w="3744"/>
        <w:gridCol w:w="3744"/>
        <w:gridCol w:w="37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1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1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1"/>
                <w:szCs w:val="21"/>
              </w:rPr>
              <w:t>1225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本年处理决定数量</w:t>
            </w:r>
          </w:p>
        </w:tc>
      </w:tr>
      <w:tr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w w:val="100"/>
                <w:kern w:val="0"/>
                <w:sz w:val="21"/>
                <w:szCs w:val="21"/>
              </w:rPr>
              <w:t>14.2180</w:t>
            </w:r>
          </w:p>
        </w:tc>
      </w:tr>
    </w:tbl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黑体" w:hAnsi="黑体" w:eastAsia="黑体" w:cs="Arial"/>
          <w:color w:val="auto"/>
          <w:w w:val="100"/>
          <w:kern w:val="0"/>
        </w:rPr>
        <w:t>三、收到和处理政府信息公开申请情况</w:t>
      </w:r>
    </w:p>
    <w:tbl>
      <w:tblPr>
        <w:tblStyle w:val="11"/>
        <w:tblW w:w="15000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97"/>
        <w:gridCol w:w="1627"/>
        <w:gridCol w:w="4059"/>
        <w:gridCol w:w="1131"/>
        <w:gridCol w:w="1131"/>
        <w:gridCol w:w="1131"/>
        <w:gridCol w:w="1131"/>
        <w:gridCol w:w="1131"/>
        <w:gridCol w:w="1131"/>
        <w:gridCol w:w="11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93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cs="宋体" w:asciiTheme="minorEastAsia" w:hAnsiTheme="minorEastAsia" w:eastAsiaTheme="minorEastAsia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w w:val="100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5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3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0" w:type="dxa"/>
            <w:vMerge w:val="restart"/>
            <w:tcBorders>
              <w:top w:val="single" w:color="auto" w:sz="6" w:space="0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企业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机构</w:t>
            </w:r>
          </w:p>
        </w:tc>
        <w:tc>
          <w:tcPr>
            <w:tcW w:w="6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93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93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750" w:type="dxa"/>
            <w:vMerge w:val="restart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1"/>
                <w:szCs w:val="21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4</w:t>
            </w: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color w:val="auto"/>
                <w:w w:val="100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1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inset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93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 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auto"/>
                <w:w w:val="100"/>
                <w:kern w:val="0"/>
                <w:sz w:val="20"/>
                <w:szCs w:val="20"/>
              </w:rPr>
              <w:t>0 </w:t>
            </w:r>
          </w:p>
        </w:tc>
      </w:tr>
    </w:tbl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黑体" w:hAnsi="黑体" w:eastAsia="黑体" w:cs="Arial"/>
          <w:color w:val="auto"/>
          <w:w w:val="100"/>
          <w:kern w:val="0"/>
        </w:rPr>
        <w:t>四、政府信息公开行政复议、行政诉讼情况</w:t>
      </w:r>
    </w:p>
    <w:tbl>
      <w:tblPr>
        <w:tblStyle w:val="11"/>
        <w:tblW w:w="15000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6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25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5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64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其他</w:t>
            </w:r>
          </w:p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总计</w:t>
            </w:r>
          </w:p>
        </w:tc>
        <w:tc>
          <w:tcPr>
            <w:tcW w:w="325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维持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纠正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审结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  <w:jc w:val="center"/>
        </w:trPr>
        <w:tc>
          <w:tcPr>
            <w:tcW w:w="6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auto"/>
                <w:w w:val="100"/>
                <w:kern w:val="0"/>
                <w:sz w:val="20"/>
                <w:szCs w:val="20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 w:eastAsia="宋体" w:cs="宋体"/>
                <w:color w:val="auto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1"/>
                <w:szCs w:val="21"/>
              </w:rPr>
              <w:t>1</w:t>
            </w:r>
          </w:p>
        </w:tc>
      </w:tr>
    </w:tbl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Arial" w:hAnsi="Arial" w:eastAsia="宋体" w:cs="Arial"/>
          <w:color w:val="auto"/>
          <w:w w:val="100"/>
          <w:kern w:val="0"/>
          <w:sz w:val="27"/>
          <w:szCs w:val="27"/>
        </w:rPr>
      </w:pPr>
      <w:r>
        <w:rPr>
          <w:rFonts w:hint="eastAsia" w:ascii="黑体" w:hAnsi="黑体" w:eastAsia="黑体" w:cs="Arial"/>
          <w:color w:val="auto"/>
          <w:w w:val="100"/>
          <w:kern w:val="0"/>
        </w:rPr>
        <w:t>五、存在的主要问题及改进情况</w:t>
      </w:r>
    </w:p>
    <w:p>
      <w:pPr>
        <w:widowControl/>
        <w:shd w:val="clear" w:color="auto" w:fill="FFFFFF"/>
        <w:spacing w:line="585" w:lineRule="atLeast"/>
        <w:ind w:left="420"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本年度为全市95所中小学校设置了学校概况、规划统计、财务信息等9个栏目23个子栏目，各学校政务公开信息员在完成日常教育教学的同时，需上传的信息比较多。如各栏目由不同教师分开上传，则易出现文字排版、信息来源、文件格式等要素空缺或不符合规范等问题。下一步，市教育体育局将加大线上和线下培训力度，积极规范做好政务公开工作。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黑体" w:hAnsi="黑体" w:eastAsia="黑体" w:cs="Arial"/>
          <w:color w:val="auto"/>
          <w:w w:val="100"/>
          <w:kern w:val="0"/>
        </w:rPr>
      </w:pPr>
      <w:r>
        <w:rPr>
          <w:rFonts w:hint="eastAsia" w:ascii="黑体" w:hAnsi="黑体" w:eastAsia="黑体" w:cs="Arial"/>
          <w:color w:val="auto"/>
          <w:w w:val="100"/>
          <w:kern w:val="0"/>
        </w:rPr>
        <w:t>六、其他需要报告的事项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（一）无收取信息处理费。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 xml:space="preserve">（二）2022年，市教育和体育局共收到办理的提案建议69件，其中主办59件，会办10件；包含重点建议1件，重点提案2件。对于能尽快办理的马上办理，对于现在不能办的，跟代表委员解释到位，建议提案答复工作取得了良好效果，实现了面复率100%，代表、委员满意率100%。  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（三）政务公开工作创新方面，建立公开内容动态扩展和定期审查机制，各学校理顺机制，明确承担政务公开工作的机构，整合力量，配齐政务公开工作人员，确保政务公开落到实处。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（四）政府信息公开工作年度报告数据统计需要说明的事项。本年度报告中所列数据的统计期限自2022年1月1日至2022年12月31日。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（五）落实2022年省、市两级政务公开工作要点情况。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严格按照《胶州市人民政府办公室关于印发 2022 年胶州市政务公开工作要点的通知》（胶政办发〔2022〕22 号）要求，全面落实省、市两级政务公开工作要点，做好部门政务公开和公共企事业单位政务公开工作。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  <w:r>
        <w:rPr>
          <w:rFonts w:hint="eastAsia" w:ascii="仿宋_GB2312" w:hAnsi="Arial" w:eastAsia="仿宋_GB2312" w:cs="Arial"/>
          <w:color w:val="auto"/>
          <w:w w:val="100"/>
          <w:kern w:val="0"/>
        </w:rPr>
        <w:t>（六）无其他需要报告的事项</w:t>
      </w:r>
    </w:p>
    <w:p>
      <w:pPr>
        <w:widowControl/>
        <w:shd w:val="clear" w:color="auto" w:fill="FFFFFF"/>
        <w:spacing w:line="555" w:lineRule="atLeast"/>
        <w:ind w:firstLine="640" w:firstLineChars="200"/>
        <w:jc w:val="left"/>
        <w:rPr>
          <w:rFonts w:ascii="仿宋_GB2312" w:hAnsi="Arial" w:eastAsia="仿宋_GB2312" w:cs="Arial"/>
          <w:color w:val="auto"/>
          <w:w w:val="100"/>
          <w:kern w:val="0"/>
        </w:rPr>
      </w:pPr>
    </w:p>
    <w:sectPr>
      <w:pgSz w:w="16839" w:h="23814"/>
      <w:pgMar w:top="1440" w:right="1800" w:bottom="1440" w:left="1800" w:header="851" w:footer="992" w:gutter="0"/>
      <w:cols w:space="425" w:num="1"/>
      <w:docGrid w:type="lines" w:linePitch="39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4"/>
  <w:drawingGridVerticalSpacing w:val="39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IzZDhiYmY4ZjczNGNmMWY5ZjY1OWFjZmRkZGFkZGQifQ=="/>
    <w:docVar w:name="KSO_WPS_MARK_KEY" w:val="6be46e84-761c-4a81-9050-8ded8a93dbce"/>
  </w:docVars>
  <w:rsids>
    <w:rsidRoot w:val="00BF12C1"/>
    <w:rsid w:val="0003597E"/>
    <w:rsid w:val="000E3862"/>
    <w:rsid w:val="00124FB7"/>
    <w:rsid w:val="00223E4A"/>
    <w:rsid w:val="00252107"/>
    <w:rsid w:val="00265EB2"/>
    <w:rsid w:val="002E111E"/>
    <w:rsid w:val="002F2AE5"/>
    <w:rsid w:val="00331C03"/>
    <w:rsid w:val="00372FF4"/>
    <w:rsid w:val="005B3008"/>
    <w:rsid w:val="00636482"/>
    <w:rsid w:val="00692C1E"/>
    <w:rsid w:val="006A2589"/>
    <w:rsid w:val="006A5D1F"/>
    <w:rsid w:val="00720B8F"/>
    <w:rsid w:val="007459F2"/>
    <w:rsid w:val="007530FC"/>
    <w:rsid w:val="007C5727"/>
    <w:rsid w:val="007E4907"/>
    <w:rsid w:val="008576E5"/>
    <w:rsid w:val="00865423"/>
    <w:rsid w:val="008939D3"/>
    <w:rsid w:val="008A4F22"/>
    <w:rsid w:val="009211D7"/>
    <w:rsid w:val="00990FFC"/>
    <w:rsid w:val="00A00DA3"/>
    <w:rsid w:val="00AC1EF1"/>
    <w:rsid w:val="00AC5153"/>
    <w:rsid w:val="00B01B57"/>
    <w:rsid w:val="00B975D8"/>
    <w:rsid w:val="00BF12C1"/>
    <w:rsid w:val="00C24C73"/>
    <w:rsid w:val="00CA0B4B"/>
    <w:rsid w:val="00CA33FC"/>
    <w:rsid w:val="00D00857"/>
    <w:rsid w:val="00D26354"/>
    <w:rsid w:val="00D627AD"/>
    <w:rsid w:val="00D80A58"/>
    <w:rsid w:val="00DC5570"/>
    <w:rsid w:val="00E47F5E"/>
    <w:rsid w:val="00EF2D87"/>
    <w:rsid w:val="00F27087"/>
    <w:rsid w:val="1574621E"/>
    <w:rsid w:val="1A9E0361"/>
    <w:rsid w:val="1F7051C3"/>
    <w:rsid w:val="2FD4266F"/>
    <w:rsid w:val="30397816"/>
    <w:rsid w:val="33510E89"/>
    <w:rsid w:val="388548B9"/>
    <w:rsid w:val="44AE6559"/>
    <w:rsid w:val="45377D8F"/>
    <w:rsid w:val="51F320B0"/>
    <w:rsid w:val="5221476B"/>
    <w:rsid w:val="5AB457AA"/>
    <w:rsid w:val="5BCD6304"/>
    <w:rsid w:val="5CBE415D"/>
    <w:rsid w:val="5FBB7DA7"/>
    <w:rsid w:val="68535FEC"/>
    <w:rsid w:val="7A4E28D6"/>
    <w:rsid w:val="7CE06A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小标宋简体" w:eastAsia="方正小标宋简体" w:cs="方正小标宋简体" w:hAnsiTheme="minorHAnsi"/>
      <w:color w:val="FF0000"/>
      <w:w w:val="90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5">
    <w:name w:val="heading 4"/>
    <w:basedOn w:val="1"/>
    <w:next w:val="1"/>
    <w:link w:val="1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17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auto"/>
      <w:w w:val="100"/>
      <w:kern w:val="0"/>
      <w:sz w:val="24"/>
      <w:szCs w:val="24"/>
    </w:rPr>
  </w:style>
  <w:style w:type="character" w:customStyle="1" w:styleId="13">
    <w:name w:val="标题 1 Char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标题 2 Char"/>
    <w:basedOn w:val="12"/>
    <w:link w:val="3"/>
    <w:qFormat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15">
    <w:name w:val="标题 3 Char"/>
    <w:basedOn w:val="12"/>
    <w:link w:val="4"/>
    <w:qFormat/>
    <w:uiPriority w:val="9"/>
    <w:rPr>
      <w:b/>
      <w:bCs/>
    </w:rPr>
  </w:style>
  <w:style w:type="character" w:customStyle="1" w:styleId="16">
    <w:name w:val="标题 4 Char"/>
    <w:basedOn w:val="12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7">
    <w:name w:val="标题 5 Char"/>
    <w:basedOn w:val="12"/>
    <w:link w:val="6"/>
    <w:qFormat/>
    <w:uiPriority w:val="9"/>
    <w:rPr>
      <w:b/>
      <w:bCs/>
      <w:sz w:val="28"/>
      <w:szCs w:val="28"/>
    </w:rPr>
  </w:style>
  <w:style w:type="paragraph" w:styleId="18">
    <w:name w:val="No Spacing"/>
    <w:qFormat/>
    <w:uiPriority w:val="1"/>
    <w:pPr>
      <w:widowControl w:val="0"/>
      <w:jc w:val="both"/>
    </w:pPr>
    <w:rPr>
      <w:rFonts w:ascii="方正小标宋简体" w:eastAsia="方正小标宋简体" w:cs="方正小标宋简体" w:hAnsiTheme="minorHAnsi"/>
      <w:color w:val="FF0000"/>
      <w:w w:val="90"/>
      <w:kern w:val="2"/>
      <w:sz w:val="32"/>
      <w:szCs w:val="32"/>
      <w:lang w:val="en-US" w:eastAsia="zh-CN" w:bidi="ar-SA"/>
    </w:rPr>
  </w:style>
  <w:style w:type="character" w:customStyle="1" w:styleId="19">
    <w:name w:val="明显参考1"/>
    <w:basedOn w:val="12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20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21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8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E47A9-611E-42E4-81A6-099484ED05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3026</Words>
  <Characters>3214</Characters>
  <Lines>26</Lines>
  <Paragraphs>7</Paragraphs>
  <TotalTime>4</TotalTime>
  <ScaleCrop>false</ScaleCrop>
  <LinksUpToDate>false</LinksUpToDate>
  <CharactersWithSpaces>3367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2023-02-21T03:44:00Z</dcterms:created>
  <dc:creator>lenovo</dc:creator>
  <cp:lastModifiedBy>王树东</cp:lastModifiedBy>
  <dcterms:modified xsi:type="dcterms:W3CDTF">2023-05-15T06:21:48Z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D3329BF8A27049FD96F65A5CE7C025D5</vt:lpwstr>
  </property>
</Properties>
</file>