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cs="Times New Roman" w:eastAsiaTheme="majorEastAsia"/>
          <w:b/>
          <w:bCs/>
          <w:sz w:val="44"/>
          <w:szCs w:val="44"/>
        </w:rPr>
      </w:pPr>
      <w:r>
        <w:rPr>
          <w:rFonts w:cs="Times New Roman" w:eastAsiaTheme="majorEastAsia"/>
          <w:b/>
          <w:bCs/>
          <w:sz w:val="44"/>
          <w:szCs w:val="44"/>
        </w:rPr>
        <w:t>胶州市发展和改革局</w:t>
      </w:r>
      <w:r>
        <w:rPr>
          <w:rFonts w:hint="eastAsia" w:cs="Times New Roman" w:eastAsiaTheme="majorEastAsia"/>
          <w:b/>
          <w:bCs/>
          <w:sz w:val="44"/>
          <w:szCs w:val="44"/>
        </w:rPr>
        <w:t>2022年度政府信息公开工作年度报告</w:t>
      </w:r>
    </w:p>
    <w:p>
      <w:pPr>
        <w:ind w:left="-1624" w:leftChars="-514" w:firstLine="2060" w:firstLineChars="545"/>
        <w:rPr>
          <w:rFonts w:cs="Times New Roman"/>
          <w:w w:val="87"/>
          <w:sz w:val="44"/>
          <w:szCs w:val="44"/>
        </w:rPr>
      </w:pPr>
    </w:p>
    <w:p>
      <w:pPr>
        <w:ind w:left="97" w:leftChars="31" w:firstLine="632" w:firstLineChars="200"/>
        <w:rPr>
          <w:rFonts w:hint="eastAsia" w:ascii="仿宋_GB2312" w:hAnsi="仿宋_GB2312" w:eastAsia="仿宋_GB2312" w:cs="仿宋_GB2312"/>
          <w:szCs w:val="32"/>
        </w:rPr>
      </w:pPr>
      <w:r>
        <w:rPr>
          <w:rFonts w:hint="eastAsia" w:ascii="仿宋_GB2312" w:hAnsi="仿宋_GB2312" w:eastAsia="仿宋_GB2312" w:cs="仿宋_GB2312"/>
          <w:szCs w:val="32"/>
        </w:rPr>
        <w:t>本报告根据《中华人民共和国政府信息公开条例》（国务院令第711号，以下简称《条例》）第五十条规定要求编制，全文包括总体情况、主动公开政府信息情况、收到和处理政府信息公开申请情况、因政府信息公开工作被申请行政复议和提起行政诉讼情况、政府信息公开工作存在的主要问题及改进情况、其他需要报告的事项。本年度报告中所列数据统计期限从202</w:t>
      </w:r>
      <w:r>
        <w:rPr>
          <w:rFonts w:hint="eastAsia" w:ascii="仿宋_GB2312" w:hAnsi="仿宋_GB2312" w:eastAsia="仿宋_GB2312" w:cs="仿宋_GB2312"/>
          <w:szCs w:val="32"/>
          <w:lang w:val="en-US" w:eastAsia="zh-CN"/>
        </w:rPr>
        <w:t>2</w:t>
      </w:r>
      <w:r>
        <w:rPr>
          <w:rFonts w:hint="eastAsia" w:ascii="仿宋_GB2312" w:hAnsi="仿宋_GB2312" w:eastAsia="仿宋_GB2312" w:cs="仿宋_GB2312"/>
          <w:szCs w:val="32"/>
        </w:rPr>
        <w:t>年1月1日到12月31日止。本报告的电子版可在“胶州政务网”下载。如对本报告有任何疑问，请与胶州市发展和改革局综合科联系(地址：胶州市北京路1号市机关行政大楼739室；邮编：266300；电话：82288210；传真：82288210）。</w:t>
      </w:r>
    </w:p>
    <w:p>
      <w:pPr>
        <w:ind w:firstLine="632" w:firstLineChars="200"/>
        <w:rPr>
          <w:rFonts w:hint="eastAsia" w:ascii="仿宋_GB2312" w:hAnsi="仿宋_GB2312" w:eastAsia="仿宋_GB2312" w:cs="仿宋_GB2312"/>
          <w:bCs/>
          <w:szCs w:val="32"/>
        </w:rPr>
      </w:pPr>
      <w:r>
        <w:rPr>
          <w:rFonts w:hint="eastAsia" w:ascii="仿宋_GB2312" w:hAnsi="仿宋_GB2312" w:eastAsia="仿宋_GB2312" w:cs="仿宋_GB2312"/>
          <w:bCs/>
          <w:szCs w:val="32"/>
        </w:rPr>
        <w:t>一、总体情况</w:t>
      </w:r>
    </w:p>
    <w:p>
      <w:pPr>
        <w:ind w:left="97" w:leftChars="31" w:firstLine="632" w:firstLineChars="200"/>
        <w:rPr>
          <w:rFonts w:hint="eastAsia" w:ascii="仿宋_GB2312" w:hAnsi="仿宋_GB2312" w:eastAsia="仿宋_GB2312" w:cs="仿宋_GB2312"/>
          <w:szCs w:val="32"/>
        </w:rPr>
      </w:pPr>
      <w:r>
        <w:rPr>
          <w:rFonts w:hint="eastAsia" w:ascii="仿宋_GB2312" w:hAnsi="仿宋_GB2312" w:eastAsia="仿宋_GB2312" w:cs="仿宋_GB2312"/>
          <w:szCs w:val="32"/>
        </w:rPr>
        <w:t>202</w:t>
      </w:r>
      <w:r>
        <w:rPr>
          <w:rFonts w:hint="eastAsia" w:ascii="仿宋_GB2312" w:hAnsi="仿宋_GB2312" w:eastAsia="仿宋_GB2312" w:cs="仿宋_GB2312"/>
          <w:szCs w:val="32"/>
          <w:lang w:val="en-US" w:eastAsia="zh-CN"/>
        </w:rPr>
        <w:t>2</w:t>
      </w:r>
      <w:r>
        <w:rPr>
          <w:rFonts w:hint="eastAsia" w:ascii="仿宋_GB2312" w:hAnsi="仿宋_GB2312" w:eastAsia="仿宋_GB2312" w:cs="仿宋_GB2312"/>
          <w:szCs w:val="32"/>
        </w:rPr>
        <w:t>年，胶州市发展和改革局坚持以习近平新时代中国特色社会主义思想为指导，严格按照《国务院办公厅关于印发202</w:t>
      </w:r>
      <w:r>
        <w:rPr>
          <w:rFonts w:hint="eastAsia" w:ascii="仿宋_GB2312" w:hAnsi="仿宋_GB2312" w:eastAsia="仿宋_GB2312" w:cs="仿宋_GB2312"/>
          <w:szCs w:val="32"/>
          <w:lang w:val="en-US" w:eastAsia="zh-CN"/>
        </w:rPr>
        <w:t>2</w:t>
      </w:r>
      <w:r>
        <w:rPr>
          <w:rFonts w:hint="eastAsia" w:ascii="仿宋_GB2312" w:hAnsi="仿宋_GB2312" w:eastAsia="仿宋_GB2312" w:cs="仿宋_GB2312"/>
          <w:szCs w:val="32"/>
        </w:rPr>
        <w:t>年政务公开工作要点的通知》（国办发〔202</w:t>
      </w:r>
      <w:r>
        <w:rPr>
          <w:rFonts w:hint="eastAsia" w:ascii="仿宋_GB2312" w:hAnsi="仿宋_GB2312" w:eastAsia="仿宋_GB2312" w:cs="仿宋_GB2312"/>
          <w:szCs w:val="32"/>
          <w:lang w:val="en-US" w:eastAsia="zh-CN"/>
        </w:rPr>
        <w:t>2</w:t>
      </w:r>
      <w:r>
        <w:rPr>
          <w:rFonts w:hint="eastAsia" w:ascii="仿宋_GB2312" w:hAnsi="仿宋_GB2312" w:eastAsia="仿宋_GB2312" w:cs="仿宋_GB2312"/>
          <w:szCs w:val="32"/>
        </w:rPr>
        <w:t>〕</w:t>
      </w:r>
      <w:r>
        <w:rPr>
          <w:rFonts w:hint="eastAsia" w:ascii="仿宋_GB2312" w:hAnsi="仿宋_GB2312" w:eastAsia="仿宋_GB2312" w:cs="仿宋_GB2312"/>
          <w:szCs w:val="32"/>
          <w:lang w:val="en-US" w:eastAsia="zh-CN"/>
        </w:rPr>
        <w:t>8</w:t>
      </w:r>
      <w:r>
        <w:rPr>
          <w:rFonts w:hint="eastAsia" w:ascii="仿宋_GB2312" w:hAnsi="仿宋_GB2312" w:eastAsia="仿宋_GB2312" w:cs="仿宋_GB2312"/>
          <w:szCs w:val="32"/>
        </w:rPr>
        <w:t>号）、《</w:t>
      </w:r>
      <w:r>
        <w:rPr>
          <w:rFonts w:hint="eastAsia" w:ascii="仿宋_GB2312" w:hAnsi="仿宋_GB2312" w:eastAsia="仿宋_GB2312" w:cs="仿宋_GB2312"/>
          <w:szCs w:val="32"/>
          <w:lang w:val="en-US" w:eastAsia="zh-CN"/>
        </w:rPr>
        <w:t>青岛市</w:t>
      </w:r>
      <w:r>
        <w:rPr>
          <w:rFonts w:hint="eastAsia" w:ascii="仿宋_GB2312" w:hAnsi="仿宋_GB2312" w:eastAsia="仿宋_GB2312" w:cs="仿宋_GB2312"/>
          <w:szCs w:val="32"/>
        </w:rPr>
        <w:t>人民政府办公厅关于印发202</w:t>
      </w:r>
      <w:r>
        <w:rPr>
          <w:rFonts w:hint="eastAsia" w:ascii="仿宋_GB2312" w:hAnsi="仿宋_GB2312" w:eastAsia="仿宋_GB2312" w:cs="仿宋_GB2312"/>
          <w:szCs w:val="32"/>
          <w:lang w:val="en-US" w:eastAsia="zh-CN"/>
        </w:rPr>
        <w:t>2</w:t>
      </w:r>
      <w:r>
        <w:rPr>
          <w:rFonts w:hint="eastAsia" w:ascii="仿宋_GB2312" w:hAnsi="仿宋_GB2312" w:eastAsia="仿宋_GB2312" w:cs="仿宋_GB2312"/>
          <w:szCs w:val="32"/>
        </w:rPr>
        <w:t>年</w:t>
      </w:r>
      <w:r>
        <w:rPr>
          <w:rFonts w:hint="eastAsia" w:ascii="仿宋_GB2312" w:hAnsi="仿宋_GB2312" w:eastAsia="仿宋_GB2312" w:cs="仿宋_GB2312"/>
          <w:szCs w:val="32"/>
          <w:lang w:val="en-US" w:eastAsia="zh-CN"/>
        </w:rPr>
        <w:t>青岛市</w:t>
      </w:r>
      <w:r>
        <w:rPr>
          <w:rFonts w:hint="eastAsia" w:ascii="仿宋_GB2312" w:hAnsi="仿宋_GB2312" w:eastAsia="仿宋_GB2312" w:cs="仿宋_GB2312"/>
          <w:szCs w:val="32"/>
        </w:rPr>
        <w:t>政务公开工作要点的通知》（</w:t>
      </w:r>
      <w:r>
        <w:rPr>
          <w:rFonts w:hint="eastAsia" w:ascii="仿宋_GB2312" w:hAnsi="仿宋_GB2312" w:eastAsia="仿宋_GB2312" w:cs="仿宋_GB2312"/>
          <w:szCs w:val="32"/>
          <w:lang w:val="en-US" w:eastAsia="zh-CN"/>
        </w:rPr>
        <w:t>青政办字</w:t>
      </w:r>
      <w:r>
        <w:rPr>
          <w:rFonts w:hint="eastAsia" w:ascii="仿宋_GB2312" w:hAnsi="仿宋_GB2312" w:eastAsia="仿宋_GB2312" w:cs="仿宋_GB2312"/>
          <w:szCs w:val="32"/>
        </w:rPr>
        <w:t>〔202</w:t>
      </w:r>
      <w:r>
        <w:rPr>
          <w:rFonts w:hint="eastAsia" w:ascii="仿宋_GB2312" w:hAnsi="仿宋_GB2312" w:eastAsia="仿宋_GB2312" w:cs="仿宋_GB2312"/>
          <w:szCs w:val="32"/>
          <w:lang w:val="en-US" w:eastAsia="zh-CN"/>
        </w:rPr>
        <w:t>2</w:t>
      </w:r>
      <w:r>
        <w:rPr>
          <w:rFonts w:hint="eastAsia" w:ascii="仿宋_GB2312" w:hAnsi="仿宋_GB2312" w:eastAsia="仿宋_GB2312" w:cs="仿宋_GB2312"/>
          <w:szCs w:val="32"/>
        </w:rPr>
        <w:t>〕</w:t>
      </w:r>
      <w:r>
        <w:rPr>
          <w:rFonts w:hint="eastAsia" w:ascii="仿宋_GB2312" w:hAnsi="仿宋_GB2312" w:eastAsia="仿宋_GB2312" w:cs="仿宋_GB2312"/>
          <w:szCs w:val="32"/>
          <w:lang w:val="en-US" w:eastAsia="zh-CN"/>
        </w:rPr>
        <w:t>22</w:t>
      </w:r>
      <w:r>
        <w:rPr>
          <w:rFonts w:hint="eastAsia" w:ascii="仿宋_GB2312" w:hAnsi="仿宋_GB2312" w:eastAsia="仿宋_GB2312" w:cs="仿宋_GB2312"/>
          <w:szCs w:val="32"/>
        </w:rPr>
        <w:t>号）要求，不断提高政务公开制度化、标准化、规范化水平，切实保障人民群众的知情权、参与权和监督权。</w:t>
      </w:r>
    </w:p>
    <w:p>
      <w:pPr>
        <w:ind w:left="97" w:leftChars="31" w:firstLine="632" w:firstLineChars="200"/>
        <w:rPr>
          <w:rFonts w:hint="eastAsia" w:ascii="仿宋_GB2312" w:hAnsi="仿宋_GB2312" w:eastAsia="仿宋_GB2312" w:cs="仿宋_GB2312"/>
          <w:szCs w:val="32"/>
        </w:rPr>
      </w:pPr>
      <w:r>
        <w:rPr>
          <w:rFonts w:hint="eastAsia" w:ascii="仿宋_GB2312" w:hAnsi="仿宋_GB2312" w:eastAsia="仿宋_GB2312" w:cs="仿宋_GB2312"/>
          <w:szCs w:val="32"/>
        </w:rPr>
        <w:t>（一）主动公开方面</w:t>
      </w:r>
    </w:p>
    <w:p>
      <w:pPr>
        <w:ind w:left="97" w:leftChars="31" w:firstLine="76" w:firstLineChars="24"/>
        <w:rPr>
          <w:rFonts w:hint="eastAsia" w:ascii="仿宋_GB2312" w:hAnsi="仿宋_GB2312" w:eastAsia="仿宋_GB2312" w:cs="仿宋_GB2312"/>
          <w:szCs w:val="32"/>
        </w:rPr>
      </w:pPr>
      <w:r>
        <w:rPr>
          <w:rFonts w:hint="eastAsia" w:ascii="仿宋_GB2312" w:hAnsi="仿宋_GB2312" w:eastAsia="仿宋_GB2312" w:cs="仿宋_GB2312"/>
          <w:szCs w:val="32"/>
        </w:rPr>
        <w:t>截止202</w:t>
      </w:r>
      <w:r>
        <w:rPr>
          <w:rFonts w:hint="eastAsia" w:ascii="仿宋_GB2312" w:hAnsi="仿宋_GB2312" w:eastAsia="仿宋_GB2312" w:cs="仿宋_GB2312"/>
          <w:szCs w:val="32"/>
          <w:lang w:val="en-US" w:eastAsia="zh-CN"/>
        </w:rPr>
        <w:t>2</w:t>
      </w:r>
      <w:r>
        <w:rPr>
          <w:rFonts w:hint="eastAsia" w:ascii="仿宋_GB2312" w:hAnsi="仿宋_GB2312" w:eastAsia="仿宋_GB2312" w:cs="仿宋_GB2312"/>
          <w:szCs w:val="32"/>
        </w:rPr>
        <w:t>年12月31日，主动发布政策文件</w:t>
      </w:r>
      <w:r>
        <w:rPr>
          <w:rFonts w:hint="eastAsia" w:ascii="仿宋_GB2312" w:hAnsi="仿宋_GB2312" w:eastAsia="仿宋_GB2312" w:cs="仿宋_GB2312"/>
          <w:szCs w:val="32"/>
          <w:lang w:val="en-US" w:eastAsia="zh-CN"/>
        </w:rPr>
        <w:t>5</w:t>
      </w:r>
      <w:r>
        <w:rPr>
          <w:rFonts w:hint="eastAsia" w:ascii="仿宋_GB2312" w:hAnsi="仿宋_GB2312" w:eastAsia="仿宋_GB2312" w:cs="仿宋_GB2312"/>
          <w:szCs w:val="32"/>
        </w:rPr>
        <w:t>条并全部进行</w:t>
      </w:r>
    </w:p>
    <w:p>
      <w:pPr>
        <w:ind w:left="97" w:leftChars="31" w:firstLine="76" w:firstLineChars="24"/>
        <w:rPr>
          <w:rFonts w:hint="eastAsia" w:ascii="仿宋_GB2312" w:hAnsi="仿宋_GB2312" w:eastAsia="仿宋_GB2312" w:cs="仿宋_GB2312"/>
          <w:szCs w:val="32"/>
        </w:rPr>
      </w:pPr>
      <w:r>
        <w:rPr>
          <w:rFonts w:hint="eastAsia" w:ascii="仿宋_GB2312" w:hAnsi="仿宋_GB2312" w:eastAsia="仿宋_GB2312" w:cs="仿宋_GB2312"/>
          <w:szCs w:val="32"/>
        </w:rPr>
        <w:t>政策解读，主动公开政府信息2000余条。其中，通过门户网</w:t>
      </w:r>
    </w:p>
    <w:p>
      <w:pPr>
        <w:ind w:left="97" w:leftChars="31" w:firstLine="76" w:firstLineChars="24"/>
        <w:rPr>
          <w:rFonts w:hint="eastAsia" w:ascii="仿宋_GB2312" w:hAnsi="仿宋_GB2312" w:eastAsia="仿宋_GB2312" w:cs="仿宋_GB2312"/>
          <w:szCs w:val="32"/>
        </w:rPr>
      </w:pPr>
      <w:r>
        <w:rPr>
          <w:rFonts w:hint="eastAsia" w:ascii="仿宋_GB2312" w:hAnsi="仿宋_GB2312" w:eastAsia="仿宋_GB2312" w:cs="仿宋_GB2312"/>
          <w:szCs w:val="32"/>
        </w:rPr>
        <w:t>站主动公开政府信息</w:t>
      </w:r>
      <w:r>
        <w:rPr>
          <w:rFonts w:hint="eastAsia" w:ascii="仿宋_GB2312" w:hAnsi="仿宋_GB2312" w:eastAsia="仿宋_GB2312" w:cs="仿宋_GB2312"/>
          <w:szCs w:val="32"/>
          <w:lang w:val="en-US" w:eastAsia="zh-CN"/>
        </w:rPr>
        <w:t>2061</w:t>
      </w:r>
      <w:r>
        <w:rPr>
          <w:rFonts w:hint="eastAsia" w:ascii="仿宋_GB2312" w:hAnsi="仿宋_GB2312" w:eastAsia="仿宋_GB2312" w:cs="仿宋_GB2312"/>
          <w:szCs w:val="32"/>
        </w:rPr>
        <w:t>条，通过“胶州市发展和改革局”</w:t>
      </w:r>
    </w:p>
    <w:p>
      <w:pPr>
        <w:ind w:left="97" w:leftChars="31" w:firstLine="76" w:firstLineChars="24"/>
        <w:rPr>
          <w:rFonts w:hint="eastAsia" w:ascii="仿宋_GB2312" w:hAnsi="仿宋_GB2312" w:eastAsia="仿宋_GB2312" w:cs="仿宋_GB2312"/>
          <w:szCs w:val="32"/>
        </w:rPr>
      </w:pPr>
      <w:r>
        <w:rPr>
          <w:rFonts w:hint="eastAsia" w:ascii="仿宋_GB2312" w:hAnsi="仿宋_GB2312" w:eastAsia="仿宋_GB2312" w:cs="仿宋_GB2312"/>
          <w:szCs w:val="32"/>
        </w:rPr>
        <w:t>公众号等政务新媒体主动公开政府信息</w:t>
      </w:r>
      <w:r>
        <w:rPr>
          <w:rFonts w:hint="eastAsia" w:ascii="仿宋_GB2312" w:hAnsi="仿宋_GB2312" w:eastAsia="仿宋_GB2312" w:cs="仿宋_GB2312"/>
          <w:szCs w:val="32"/>
          <w:lang w:val="en-US" w:eastAsia="zh-CN"/>
        </w:rPr>
        <w:t>548</w:t>
      </w:r>
      <w:r>
        <w:rPr>
          <w:rFonts w:hint="eastAsia" w:ascii="仿宋_GB2312" w:hAnsi="仿宋_GB2312" w:eastAsia="仿宋_GB2312" w:cs="仿宋_GB2312"/>
          <w:szCs w:val="32"/>
        </w:rPr>
        <w:t>条。</w:t>
      </w:r>
    </w:p>
    <w:p>
      <w:pPr>
        <w:ind w:left="97" w:leftChars="31" w:firstLine="76" w:firstLineChars="24"/>
        <w:rPr>
          <w:rFonts w:hint="eastAsia" w:ascii="仿宋_GB2312" w:hAnsi="仿宋_GB2312" w:eastAsia="仿宋_GB2312" w:cs="仿宋_GB2312"/>
          <w:szCs w:val="32"/>
        </w:rPr>
      </w:pPr>
    </w:p>
    <w:p>
      <w:pPr>
        <w:ind w:left="97" w:leftChars="31" w:firstLine="76" w:firstLineChars="24"/>
        <w:rPr>
          <w:rFonts w:hint="eastAsia" w:ascii="仿宋_GB2312" w:hAnsi="仿宋_GB2312" w:eastAsia="仿宋_GB2312" w:cs="仿宋_GB2312"/>
          <w:szCs w:val="32"/>
          <w:lang w:eastAsia="zh-CN"/>
        </w:rPr>
      </w:pPr>
      <w:r>
        <w:rPr>
          <w:rFonts w:hint="eastAsia" w:ascii="仿宋_GB2312" w:hAnsi="仿宋_GB2312" w:eastAsia="仿宋_GB2312" w:cs="仿宋_GB2312"/>
          <w:szCs w:val="32"/>
          <w:lang w:eastAsia="zh-CN"/>
        </w:rPr>
        <w:drawing>
          <wp:inline distT="0" distB="0" distL="114300" distR="114300">
            <wp:extent cx="5610860" cy="2664460"/>
            <wp:effectExtent l="0" t="0" r="12700" b="2540"/>
            <wp:docPr id="2" name="图片 2" descr="屏幕截图 2023-02-10 171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屏幕截图 2023-02-10 171810"/>
                    <pic:cNvPicPr>
                      <a:picLocks noChangeAspect="1"/>
                    </pic:cNvPicPr>
                  </pic:nvPicPr>
                  <pic:blipFill>
                    <a:blip r:embed="rId5"/>
                    <a:stretch>
                      <a:fillRect/>
                    </a:stretch>
                  </pic:blipFill>
                  <pic:spPr>
                    <a:xfrm>
                      <a:off x="0" y="0"/>
                      <a:ext cx="5610860" cy="2664460"/>
                    </a:xfrm>
                    <a:prstGeom prst="rect">
                      <a:avLst/>
                    </a:prstGeom>
                  </pic:spPr>
                </pic:pic>
              </a:graphicData>
            </a:graphic>
          </wp:inline>
        </w:drawing>
      </w:r>
    </w:p>
    <w:p>
      <w:pPr>
        <w:ind w:left="97" w:leftChars="31" w:firstLine="76" w:firstLineChars="24"/>
        <w:rPr>
          <w:rFonts w:hint="eastAsia" w:ascii="仿宋_GB2312" w:hAnsi="仿宋_GB2312" w:eastAsia="仿宋_GB2312" w:cs="仿宋_GB2312"/>
          <w:szCs w:val="32"/>
        </w:rPr>
      </w:pPr>
    </w:p>
    <w:p>
      <w:pPr>
        <w:ind w:left="97" w:leftChars="31" w:firstLine="708" w:firstLineChars="224"/>
        <w:rPr>
          <w:rFonts w:hint="eastAsia" w:ascii="仿宋_GB2312" w:hAnsi="仿宋_GB2312" w:eastAsia="仿宋_GB2312" w:cs="仿宋_GB2312"/>
          <w:szCs w:val="32"/>
        </w:rPr>
      </w:pPr>
      <w:r>
        <w:rPr>
          <w:rFonts w:hint="eastAsia" w:ascii="仿宋_GB2312" w:hAnsi="仿宋_GB2312" w:eastAsia="仿宋_GB2312" w:cs="仿宋_GB2312"/>
          <w:szCs w:val="32"/>
        </w:rPr>
        <w:t>（二）依申请公开方面</w:t>
      </w:r>
    </w:p>
    <w:p>
      <w:pPr>
        <w:ind w:left="97" w:leftChars="31" w:firstLine="708" w:firstLineChars="224"/>
        <w:rPr>
          <w:rFonts w:hint="eastAsia" w:ascii="仿宋_GB2312" w:hAnsi="仿宋_GB2312" w:eastAsia="仿宋_GB2312" w:cs="仿宋_GB2312"/>
          <w:szCs w:val="32"/>
        </w:rPr>
      </w:pPr>
      <w:r>
        <w:rPr>
          <w:rFonts w:hint="eastAsia" w:ascii="仿宋_GB2312" w:hAnsi="仿宋_GB2312" w:eastAsia="仿宋_GB2312" w:cs="仿宋_GB2312"/>
          <w:szCs w:val="32"/>
        </w:rPr>
        <w:t>202</w:t>
      </w:r>
      <w:r>
        <w:rPr>
          <w:rFonts w:hint="eastAsia" w:ascii="仿宋_GB2312" w:hAnsi="仿宋_GB2312" w:eastAsia="仿宋_GB2312" w:cs="仿宋_GB2312"/>
          <w:szCs w:val="32"/>
          <w:lang w:val="en-US" w:eastAsia="zh-CN"/>
        </w:rPr>
        <w:t>2</w:t>
      </w:r>
      <w:r>
        <w:rPr>
          <w:rFonts w:hint="eastAsia" w:ascii="仿宋_GB2312" w:hAnsi="仿宋_GB2312" w:eastAsia="仿宋_GB2312" w:cs="仿宋_GB2312"/>
          <w:szCs w:val="32"/>
        </w:rPr>
        <w:t>年，胶州市发展和改革局共受理政府信息公开申请件</w:t>
      </w:r>
      <w:r>
        <w:rPr>
          <w:rFonts w:hint="eastAsia" w:ascii="仿宋_GB2312" w:hAnsi="仿宋_GB2312" w:eastAsia="仿宋_GB2312" w:cs="仿宋_GB2312"/>
          <w:szCs w:val="32"/>
          <w:lang w:val="en-US" w:eastAsia="zh-CN"/>
        </w:rPr>
        <w:t>19</w:t>
      </w:r>
      <w:r>
        <w:rPr>
          <w:rFonts w:hint="eastAsia" w:ascii="仿宋_GB2312" w:hAnsi="仿宋_GB2312" w:eastAsia="仿宋_GB2312" w:cs="仿宋_GB2312"/>
          <w:szCs w:val="32"/>
        </w:rPr>
        <w:t>件，收到的申请件均依法依规按照法定时限给予答复，未收取申请人任何费用。</w:t>
      </w:r>
    </w:p>
    <w:p>
      <w:pPr>
        <w:ind w:left="97" w:leftChars="31" w:firstLine="708" w:firstLineChars="224"/>
        <w:rPr>
          <w:rFonts w:hint="eastAsia" w:ascii="仿宋_GB2312" w:hAnsi="仿宋_GB2312" w:eastAsia="仿宋_GB2312" w:cs="仿宋_GB2312"/>
          <w:szCs w:val="32"/>
        </w:rPr>
      </w:pPr>
      <w:r>
        <w:rPr>
          <w:rFonts w:hint="eastAsia" w:ascii="仿宋_GB2312" w:hAnsi="仿宋_GB2312" w:eastAsia="仿宋_GB2312" w:cs="仿宋_GB2312"/>
          <w:szCs w:val="32"/>
        </w:rPr>
        <w:t>（三）政府信息管理方面</w:t>
      </w:r>
    </w:p>
    <w:p>
      <w:pPr>
        <w:ind w:left="97" w:leftChars="31" w:firstLine="708" w:firstLineChars="224"/>
        <w:rPr>
          <w:rFonts w:hint="eastAsia" w:ascii="仿宋_GB2312" w:hAnsi="仿宋_GB2312" w:eastAsia="仿宋_GB2312" w:cs="仿宋_GB2312"/>
          <w:szCs w:val="32"/>
        </w:rPr>
      </w:pPr>
      <w:r>
        <w:rPr>
          <w:rFonts w:hint="eastAsia" w:ascii="仿宋_GB2312" w:hAnsi="仿宋_GB2312" w:eastAsia="仿宋_GB2312" w:cs="仿宋_GB2312"/>
          <w:szCs w:val="32"/>
          <w:lang w:val="en-US" w:eastAsia="zh-CN"/>
        </w:rPr>
        <w:t>进一步梳理</w:t>
      </w:r>
      <w:r>
        <w:rPr>
          <w:rFonts w:hint="eastAsia" w:ascii="仿宋_GB2312" w:hAnsi="仿宋_GB2312" w:eastAsia="仿宋_GB2312" w:cs="仿宋_GB2312"/>
          <w:szCs w:val="32"/>
        </w:rPr>
        <w:t>《胶州市发展和改革局政府信息主动公开基本目录》，</w:t>
      </w:r>
      <w:r>
        <w:rPr>
          <w:rFonts w:hint="eastAsia" w:ascii="仿宋_GB2312" w:hAnsi="仿宋_GB2312" w:eastAsia="仿宋_GB2312" w:cs="仿宋_GB2312"/>
          <w:szCs w:val="32"/>
          <w:lang w:val="en-US" w:eastAsia="zh-CN"/>
        </w:rPr>
        <w:t>根据相关科室职能，细化责任分工，确保政府信息公开工作时效。同时，建立业务科室-局综合科-分管领导3级</w:t>
      </w:r>
      <w:r>
        <w:rPr>
          <w:rFonts w:hint="eastAsia" w:ascii="仿宋_GB2312" w:hAnsi="仿宋_GB2312" w:eastAsia="仿宋_GB2312" w:cs="仿宋_GB2312"/>
          <w:szCs w:val="32"/>
        </w:rPr>
        <w:t>政府信息公开</w:t>
      </w:r>
      <w:r>
        <w:rPr>
          <w:rFonts w:hint="eastAsia" w:ascii="仿宋_GB2312" w:hAnsi="仿宋_GB2312" w:eastAsia="仿宋_GB2312" w:cs="仿宋_GB2312"/>
          <w:szCs w:val="32"/>
          <w:lang w:val="en-US" w:eastAsia="zh-CN"/>
        </w:rPr>
        <w:t>审核流程</w:t>
      </w:r>
      <w:r>
        <w:rPr>
          <w:rFonts w:hint="eastAsia" w:ascii="仿宋_GB2312" w:hAnsi="仿宋_GB2312" w:eastAsia="仿宋_GB2312" w:cs="仿宋_GB2312"/>
          <w:szCs w:val="32"/>
        </w:rPr>
        <w:t>实现“上网信息不涉密、涉密信息不上网”，确保信息公开工作全面贯彻落实。</w:t>
      </w:r>
    </w:p>
    <w:p>
      <w:pPr>
        <w:ind w:left="97" w:leftChars="31" w:firstLine="708" w:firstLineChars="224"/>
        <w:rPr>
          <w:rFonts w:hint="eastAsia" w:ascii="仿宋_GB2312" w:hAnsi="仿宋_GB2312" w:eastAsia="仿宋_GB2312" w:cs="仿宋_GB2312"/>
          <w:szCs w:val="32"/>
        </w:rPr>
      </w:pPr>
      <w:r>
        <w:rPr>
          <w:rFonts w:hint="eastAsia" w:ascii="仿宋_GB2312" w:hAnsi="仿宋_GB2312" w:eastAsia="仿宋_GB2312" w:cs="仿宋_GB2312"/>
          <w:szCs w:val="32"/>
        </w:rPr>
        <w:t>（四）政府信息公开平台建设情况</w:t>
      </w:r>
    </w:p>
    <w:p>
      <w:pPr>
        <w:ind w:left="97" w:leftChars="31" w:firstLine="708" w:firstLineChars="224"/>
        <w:rPr>
          <w:rFonts w:hint="eastAsia" w:ascii="仿宋_GB2312" w:hAnsi="仿宋_GB2312" w:eastAsia="仿宋_GB2312" w:cs="仿宋_GB2312"/>
          <w:szCs w:val="32"/>
        </w:rPr>
      </w:pPr>
      <w:r>
        <w:rPr>
          <w:rFonts w:hint="eastAsia" w:ascii="仿宋_GB2312" w:hAnsi="仿宋_GB2312" w:eastAsia="仿宋_GB2312" w:cs="仿宋_GB2312"/>
          <w:szCs w:val="32"/>
          <w:lang w:val="en-US" w:eastAsia="zh-CN"/>
        </w:rPr>
        <w:t>以胶州市政务公开工作要点为抓手，按照</w:t>
      </w:r>
      <w:r>
        <w:rPr>
          <w:rFonts w:hint="eastAsia" w:ascii="仿宋_GB2312" w:hAnsi="仿宋_GB2312" w:eastAsia="仿宋_GB2312" w:cs="仿宋_GB2312"/>
          <w:szCs w:val="32"/>
        </w:rPr>
        <w:t>政务公开工作要求，通过胶州政务网向社会主动发布</w:t>
      </w:r>
      <w:r>
        <w:rPr>
          <w:rFonts w:hint="eastAsia" w:ascii="仿宋_GB2312" w:hAnsi="仿宋_GB2312" w:eastAsia="仿宋_GB2312" w:cs="仿宋_GB2312"/>
          <w:szCs w:val="32"/>
          <w:lang w:val="en-US" w:eastAsia="zh-CN"/>
        </w:rPr>
        <w:t>机构信息、政策文件、财务信息、工作动态、项目立项公示等主责主业信息</w:t>
      </w:r>
      <w:r>
        <w:rPr>
          <w:rFonts w:hint="eastAsia" w:ascii="仿宋_GB2312" w:hAnsi="仿宋_GB2312" w:eastAsia="仿宋_GB2312" w:cs="仿宋_GB2312"/>
          <w:szCs w:val="32"/>
        </w:rPr>
        <w:t>，切实</w:t>
      </w:r>
      <w:r>
        <w:rPr>
          <w:rFonts w:hint="eastAsia" w:ascii="仿宋_GB2312" w:hAnsi="仿宋_GB2312" w:eastAsia="仿宋_GB2312" w:cs="仿宋_GB2312"/>
          <w:szCs w:val="32"/>
          <w:lang w:val="en-US" w:eastAsia="zh-CN"/>
        </w:rPr>
        <w:t>用好用活</w:t>
      </w:r>
      <w:r>
        <w:rPr>
          <w:rFonts w:hint="eastAsia" w:ascii="仿宋_GB2312" w:hAnsi="仿宋_GB2312" w:eastAsia="仿宋_GB2312" w:cs="仿宋_GB2312"/>
          <w:szCs w:val="32"/>
        </w:rPr>
        <w:t>政府信息公开平台。</w:t>
      </w:r>
    </w:p>
    <w:p>
      <w:pPr>
        <w:ind w:left="97" w:leftChars="31" w:firstLine="708" w:firstLineChars="224"/>
        <w:rPr>
          <w:rFonts w:hint="eastAsia" w:ascii="仿宋_GB2312" w:hAnsi="仿宋_GB2312" w:eastAsia="仿宋_GB2312" w:cs="仿宋_GB2312"/>
          <w:szCs w:val="32"/>
        </w:rPr>
      </w:pPr>
      <w:r>
        <w:rPr>
          <w:rFonts w:hint="eastAsia" w:ascii="仿宋_GB2312" w:hAnsi="仿宋_GB2312" w:eastAsia="仿宋_GB2312" w:cs="仿宋_GB2312"/>
          <w:szCs w:val="32"/>
        </w:rPr>
        <w:t>（五）监督保障情况</w:t>
      </w:r>
    </w:p>
    <w:p>
      <w:pPr>
        <w:ind w:left="97" w:leftChars="31" w:firstLine="708" w:firstLineChars="224"/>
        <w:rPr>
          <w:rFonts w:hint="eastAsia" w:ascii="仿宋_GB2312" w:hAnsi="仿宋_GB2312" w:eastAsia="仿宋_GB2312" w:cs="仿宋_GB2312"/>
          <w:szCs w:val="32"/>
        </w:rPr>
      </w:pPr>
      <w:r>
        <w:rPr>
          <w:rFonts w:hint="eastAsia" w:ascii="仿宋_GB2312" w:hAnsi="仿宋_GB2312" w:eastAsia="仿宋_GB2312" w:cs="仿宋_GB2312"/>
          <w:szCs w:val="32"/>
          <w:lang w:val="en-US" w:eastAsia="zh-CN"/>
        </w:rPr>
        <w:t>制定胶州市发展和改革局政府信息公开实施方案，细化责任分工，定期围绕群众关心关切的热点难点问题，提前谋划、超前做好相关政策的梳理。由局综合科定期对公开内容进行回头看，梳理出发改局政务公开工作涉及的难点、堵点以及公开过程中存在的问题，定期调度相关科室分析研究，扎实推进政府信息公开工作。</w:t>
      </w:r>
    </w:p>
    <w:p>
      <w:pPr>
        <w:ind w:firstLine="632" w:firstLineChars="200"/>
        <w:rPr>
          <w:rFonts w:hint="eastAsia" w:ascii="仿宋_GB2312" w:hAnsi="仿宋_GB2312" w:eastAsia="仿宋_GB2312" w:cs="仿宋_GB2312"/>
          <w:bCs/>
          <w:szCs w:val="32"/>
        </w:rPr>
      </w:pPr>
      <w:r>
        <w:rPr>
          <w:rFonts w:hint="eastAsia" w:ascii="仿宋_GB2312" w:hAnsi="仿宋_GB2312" w:eastAsia="仿宋_GB2312" w:cs="仿宋_GB2312"/>
          <w:bCs/>
          <w:szCs w:val="32"/>
        </w:rPr>
        <w:t>二、主动公开政府信息情况</w:t>
      </w:r>
    </w:p>
    <w:tbl>
      <w:tblPr>
        <w:tblStyle w:val="8"/>
        <w:tblW w:w="9488" w:type="dxa"/>
        <w:jc w:val="center"/>
        <w:tblLayout w:type="fixed"/>
        <w:tblCellMar>
          <w:top w:w="0" w:type="dxa"/>
          <w:left w:w="0" w:type="dxa"/>
          <w:bottom w:w="0" w:type="dxa"/>
          <w:right w:w="0" w:type="dxa"/>
        </w:tblCellMar>
      </w:tblPr>
      <w:tblGrid>
        <w:gridCol w:w="2435"/>
        <w:gridCol w:w="2435"/>
        <w:gridCol w:w="2435"/>
        <w:gridCol w:w="2183"/>
      </w:tblGrid>
      <w:tr>
        <w:tblPrEx>
          <w:tblCellMar>
            <w:top w:w="0" w:type="dxa"/>
            <w:left w:w="0" w:type="dxa"/>
            <w:bottom w:w="0" w:type="dxa"/>
            <w:right w:w="0" w:type="dxa"/>
          </w:tblCellMar>
        </w:tblPrEx>
        <w:trPr>
          <w:trHeight w:val="340" w:hRule="atLeast"/>
          <w:jc w:val="center"/>
        </w:trPr>
        <w:tc>
          <w:tcPr>
            <w:tcW w:w="9488" w:type="dxa"/>
            <w:gridSpan w:val="4"/>
            <w:tcBorders>
              <w:top w:val="single" w:color="auto" w:sz="8" w:space="0"/>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第二十条第（一）项</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信息内容</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本年制发件数</w:t>
            </w:r>
          </w:p>
        </w:tc>
        <w:tc>
          <w:tcPr>
            <w:tcW w:w="2435" w:type="dxa"/>
            <w:tcBorders>
              <w:top w:val="single" w:color="auto" w:sz="8" w:space="0"/>
              <w:left w:val="nil"/>
              <w:bottom w:val="single" w:color="auto" w:sz="8" w:space="0"/>
              <w:right w:val="single" w:color="auto" w:sz="4" w:space="0"/>
            </w:tcBorders>
            <w:shd w:val="clear" w:color="auto" w:fill="auto"/>
            <w:tcMar>
              <w:left w:w="57" w:type="dxa"/>
              <w:right w:w="57" w:type="dxa"/>
            </w:tcMar>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本年废止件数</w:t>
            </w:r>
          </w:p>
        </w:tc>
        <w:tc>
          <w:tcPr>
            <w:tcW w:w="2183"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现行有效件数</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规章</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w:t>
            </w:r>
          </w:p>
        </w:tc>
        <w:tc>
          <w:tcPr>
            <w:tcW w:w="2435" w:type="dxa"/>
            <w:tcBorders>
              <w:top w:val="nil"/>
              <w:left w:val="nil"/>
              <w:bottom w:val="single" w:color="auto" w:sz="8" w:space="0"/>
              <w:right w:val="single" w:color="auto" w:sz="4" w:space="0"/>
            </w:tcBorders>
            <w:shd w:val="clear" w:color="auto" w:fill="auto"/>
            <w:tcMar>
              <w:left w:w="57" w:type="dxa"/>
              <w:right w:w="57" w:type="dxa"/>
            </w:tcMar>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w:t>
            </w:r>
          </w:p>
        </w:tc>
        <w:tc>
          <w:tcPr>
            <w:tcW w:w="2183"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sz w:val="21"/>
                <w:szCs w:val="21"/>
                <w:lang w:bidi="ar"/>
              </w:rPr>
              <w:t>0</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行政规范性文件</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w:t>
            </w:r>
          </w:p>
        </w:tc>
        <w:tc>
          <w:tcPr>
            <w:tcW w:w="2435" w:type="dxa"/>
            <w:tcBorders>
              <w:top w:val="nil"/>
              <w:left w:val="nil"/>
              <w:bottom w:val="single" w:color="auto" w:sz="8" w:space="0"/>
              <w:right w:val="single" w:color="auto" w:sz="4" w:space="0"/>
            </w:tcBorders>
            <w:shd w:val="clear" w:color="auto" w:fill="auto"/>
            <w:tcMar>
              <w:left w:w="57" w:type="dxa"/>
              <w:right w:w="57" w:type="dxa"/>
            </w:tcMar>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w:t>
            </w:r>
          </w:p>
        </w:tc>
        <w:tc>
          <w:tcPr>
            <w:tcW w:w="2183"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lang w:val="en-US" w:eastAsia="zh-CN"/>
              </w:rPr>
            </w:pPr>
            <w:r>
              <w:rPr>
                <w:rFonts w:hint="eastAsia" w:ascii="仿宋_GB2312" w:hAnsi="仿宋_GB2312" w:eastAsia="仿宋_GB2312" w:cs="仿宋_GB2312"/>
                <w:sz w:val="21"/>
                <w:szCs w:val="21"/>
                <w:lang w:bidi="ar"/>
              </w:rPr>
              <w:t>0</w:t>
            </w:r>
          </w:p>
        </w:tc>
      </w:tr>
      <w:tr>
        <w:tblPrEx>
          <w:tblCellMar>
            <w:top w:w="0" w:type="dxa"/>
            <w:left w:w="0" w:type="dxa"/>
            <w:bottom w:w="0" w:type="dxa"/>
            <w:right w:w="0" w:type="dxa"/>
          </w:tblCellMar>
        </w:tblPrEx>
        <w:trPr>
          <w:trHeight w:val="340" w:hRule="atLeast"/>
          <w:jc w:val="center"/>
        </w:trPr>
        <w:tc>
          <w:tcPr>
            <w:tcW w:w="9488"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第二十条第（五）项</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4" w:space="0"/>
            </w:tcBorders>
            <w:shd w:val="clear" w:color="auto" w:fill="auto"/>
            <w:tcMar>
              <w:left w:w="57" w:type="dxa"/>
              <w:right w:w="57" w:type="dxa"/>
            </w:tcMar>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信息内容</w:t>
            </w:r>
          </w:p>
        </w:tc>
        <w:tc>
          <w:tcPr>
            <w:tcW w:w="7053"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本年处理决定数量</w:t>
            </w:r>
          </w:p>
        </w:tc>
      </w:tr>
      <w:tr>
        <w:tblPrEx>
          <w:tblCellMar>
            <w:top w:w="0" w:type="dxa"/>
            <w:left w:w="0" w:type="dxa"/>
            <w:bottom w:w="0" w:type="dxa"/>
            <w:right w:w="0" w:type="dxa"/>
          </w:tblCellMar>
        </w:tblPrEx>
        <w:trPr>
          <w:trHeight w:val="340" w:hRule="atLeast"/>
          <w:jc w:val="center"/>
        </w:trPr>
        <w:tc>
          <w:tcPr>
            <w:tcW w:w="2435" w:type="dxa"/>
            <w:tcBorders>
              <w:top w:val="single" w:color="auto" w:sz="8" w:space="0"/>
              <w:left w:val="single" w:color="auto" w:sz="8" w:space="0"/>
              <w:bottom w:val="single" w:color="auto" w:sz="8" w:space="0"/>
              <w:right w:val="single" w:color="auto" w:sz="4" w:space="0"/>
            </w:tcBorders>
            <w:shd w:val="clear" w:color="auto" w:fill="auto"/>
            <w:tcMar>
              <w:left w:w="57" w:type="dxa"/>
              <w:right w:w="57" w:type="dxa"/>
            </w:tcMar>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行政许可</w:t>
            </w:r>
          </w:p>
        </w:tc>
        <w:tc>
          <w:tcPr>
            <w:tcW w:w="7053" w:type="dxa"/>
            <w:gridSpan w:val="3"/>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lang w:val="en-US" w:eastAsia="zh-CN"/>
              </w:rPr>
            </w:pPr>
            <w:r>
              <w:rPr>
                <w:rFonts w:hint="eastAsia" w:ascii="仿宋_GB2312" w:hAnsi="仿宋_GB2312" w:eastAsia="仿宋_GB2312" w:cs="仿宋_GB2312"/>
                <w:kern w:val="0"/>
                <w:sz w:val="20"/>
                <w:szCs w:val="20"/>
                <w:lang w:val="en-US" w:eastAsia="zh-CN" w:bidi="ar"/>
              </w:rPr>
              <w:t>22</w:t>
            </w:r>
          </w:p>
        </w:tc>
      </w:tr>
      <w:tr>
        <w:tblPrEx>
          <w:tblCellMar>
            <w:top w:w="0" w:type="dxa"/>
            <w:left w:w="0" w:type="dxa"/>
            <w:bottom w:w="0" w:type="dxa"/>
            <w:right w:w="0" w:type="dxa"/>
          </w:tblCellMar>
        </w:tblPrEx>
        <w:trPr>
          <w:trHeight w:val="340" w:hRule="atLeast"/>
          <w:jc w:val="center"/>
        </w:trPr>
        <w:tc>
          <w:tcPr>
            <w:tcW w:w="9488"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第二十条第（六）项</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信息内容</w:t>
            </w:r>
          </w:p>
        </w:tc>
        <w:tc>
          <w:tcPr>
            <w:tcW w:w="7053" w:type="dxa"/>
            <w:gridSpan w:val="3"/>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本年处理决定数量</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行政处罚</w:t>
            </w:r>
          </w:p>
        </w:tc>
        <w:tc>
          <w:tcPr>
            <w:tcW w:w="7053"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行政强制</w:t>
            </w:r>
          </w:p>
        </w:tc>
        <w:tc>
          <w:tcPr>
            <w:tcW w:w="7053"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w:t>
            </w:r>
          </w:p>
        </w:tc>
      </w:tr>
      <w:tr>
        <w:tblPrEx>
          <w:tblCellMar>
            <w:top w:w="0" w:type="dxa"/>
            <w:left w:w="0" w:type="dxa"/>
            <w:bottom w:w="0" w:type="dxa"/>
            <w:right w:w="0" w:type="dxa"/>
          </w:tblCellMar>
        </w:tblPrEx>
        <w:trPr>
          <w:trHeight w:val="340" w:hRule="atLeast"/>
          <w:jc w:val="center"/>
        </w:trPr>
        <w:tc>
          <w:tcPr>
            <w:tcW w:w="9488"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第二十条第（八）项</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信息内容</w:t>
            </w:r>
          </w:p>
        </w:tc>
        <w:tc>
          <w:tcPr>
            <w:tcW w:w="7053" w:type="dxa"/>
            <w:gridSpan w:val="3"/>
            <w:tcBorders>
              <w:top w:val="nil"/>
              <w:left w:val="nil"/>
              <w:bottom w:val="single" w:color="auto" w:sz="8" w:space="0"/>
              <w:right w:val="single" w:color="000000" w:sz="8" w:space="0"/>
            </w:tcBorders>
            <w:shd w:val="clear" w:color="auto" w:fill="auto"/>
            <w:tcMar>
              <w:left w:w="57" w:type="dxa"/>
              <w:right w:w="57" w:type="dxa"/>
            </w:tcMar>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本年收费金额（单位：万元）</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行政事业性收费</w:t>
            </w:r>
          </w:p>
        </w:tc>
        <w:tc>
          <w:tcPr>
            <w:tcW w:w="7053" w:type="dxa"/>
            <w:gridSpan w:val="3"/>
            <w:tcBorders>
              <w:top w:val="nil"/>
              <w:left w:val="nil"/>
              <w:bottom w:val="single" w:color="auto" w:sz="8" w:space="0"/>
              <w:right w:val="single" w:color="000000" w:sz="8" w:space="0"/>
            </w:tcBorders>
            <w:shd w:val="clear" w:color="auto" w:fill="auto"/>
            <w:tcMar>
              <w:left w:w="57" w:type="dxa"/>
              <w:right w:w="57" w:type="dxa"/>
            </w:tcMar>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r>
              <w:rPr>
                <w:rFonts w:hint="eastAsia" w:ascii="仿宋_GB2312" w:hAnsi="仿宋_GB2312" w:eastAsia="仿宋_GB2312" w:cs="仿宋_GB2312"/>
                <w:sz w:val="21"/>
                <w:szCs w:val="21"/>
              </w:rPr>
              <w:t>0</w:t>
            </w:r>
          </w:p>
        </w:tc>
      </w:tr>
    </w:tbl>
    <w:p>
      <w:pPr>
        <w:ind w:firstLine="632" w:firstLineChars="200"/>
        <w:jc w:val="left"/>
        <w:rPr>
          <w:rFonts w:hint="eastAsia" w:ascii="仿宋_GB2312" w:hAnsi="仿宋_GB2312" w:eastAsia="仿宋_GB2312" w:cs="仿宋_GB2312"/>
          <w:bCs/>
          <w:szCs w:val="32"/>
        </w:rPr>
      </w:pPr>
      <w:r>
        <w:rPr>
          <w:rFonts w:hint="eastAsia" w:ascii="仿宋_GB2312" w:hAnsi="仿宋_GB2312" w:eastAsia="仿宋_GB2312" w:cs="仿宋_GB2312"/>
          <w:bCs/>
          <w:szCs w:val="32"/>
        </w:rPr>
        <w:t>三、收到和处理政府信息公开申请情况</w:t>
      </w:r>
    </w:p>
    <w:tbl>
      <w:tblPr>
        <w:tblStyle w:val="8"/>
        <w:tblW w:w="974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57" w:type="dxa"/>
          <w:bottom w:w="0" w:type="dxa"/>
          <w:right w:w="57" w:type="dxa"/>
        </w:tblCellMar>
      </w:tblPr>
      <w:tblGrid>
        <w:gridCol w:w="754"/>
        <w:gridCol w:w="921"/>
        <w:gridCol w:w="3271"/>
        <w:gridCol w:w="685"/>
        <w:gridCol w:w="685"/>
        <w:gridCol w:w="685"/>
        <w:gridCol w:w="685"/>
        <w:gridCol w:w="685"/>
        <w:gridCol w:w="685"/>
        <w:gridCol w:w="685"/>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4946" w:type="dxa"/>
            <w:gridSpan w:val="3"/>
            <w:vMerge w:val="restart"/>
            <w:tcBorders>
              <w:top w:val="single" w:color="auto" w:sz="8" w:space="0"/>
              <w:left w:val="single" w:color="auto" w:sz="8" w:space="0"/>
              <w:bottom w:val="outset" w:color="auto" w:sz="6" w:space="0"/>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（本列数据的勾稽关系为：第一项加第二项之和，等于第三项加第四项之和）</w:t>
            </w:r>
          </w:p>
        </w:tc>
        <w:tc>
          <w:tcPr>
            <w:tcW w:w="4795" w:type="dxa"/>
            <w:gridSpan w:val="7"/>
            <w:tcBorders>
              <w:top w:val="single" w:color="auto" w:sz="8" w:space="0"/>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4946" w:type="dxa"/>
            <w:gridSpan w:val="3"/>
            <w:vMerge w:val="continue"/>
            <w:tcBorders>
              <w:top w:val="single" w:color="auto" w:sz="8" w:space="0"/>
              <w:left w:val="single" w:color="auto" w:sz="8" w:space="0"/>
              <w:bottom w:val="outset" w:color="auto" w:sz="6" w:space="0"/>
              <w:right w:val="single" w:color="auto" w:sz="8" w:space="0"/>
            </w:tcBorders>
            <w:shd w:val="clear" w:color="auto" w:fill="auto"/>
            <w:tcMar>
              <w:left w:w="108" w:type="dxa"/>
              <w:right w:w="108" w:type="dxa"/>
            </w:tcMar>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685" w:type="dxa"/>
            <w:vMerge w:val="restart"/>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自然人</w:t>
            </w:r>
          </w:p>
        </w:tc>
        <w:tc>
          <w:tcPr>
            <w:tcW w:w="3425" w:type="dxa"/>
            <w:gridSpan w:val="5"/>
            <w:tcBorders>
              <w:top w:val="single" w:color="auto" w:sz="8" w:space="0"/>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法人或其他组织</w:t>
            </w:r>
          </w:p>
        </w:tc>
        <w:tc>
          <w:tcPr>
            <w:tcW w:w="685" w:type="dxa"/>
            <w:vMerge w:val="restart"/>
            <w:tcBorders>
              <w:top w:val="single" w:color="auto" w:sz="8" w:space="0"/>
              <w:left w:val="nil"/>
              <w:bottom w:val="outset" w:color="auto" w:sz="6"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4946" w:type="dxa"/>
            <w:gridSpan w:val="3"/>
            <w:vMerge w:val="continue"/>
            <w:tcBorders>
              <w:top w:val="single" w:color="auto" w:sz="8" w:space="0"/>
              <w:left w:val="single" w:color="auto" w:sz="8" w:space="0"/>
              <w:bottom w:val="outset" w:color="auto" w:sz="6" w:space="0"/>
              <w:right w:val="single" w:color="auto" w:sz="8" w:space="0"/>
            </w:tcBorders>
            <w:shd w:val="clear" w:color="auto" w:fill="auto"/>
            <w:tcMar>
              <w:left w:w="108" w:type="dxa"/>
              <w:right w:w="108" w:type="dxa"/>
            </w:tcMar>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685" w:type="dxa"/>
            <w:vMerge w:val="continue"/>
            <w:tcBorders>
              <w:top w:val="nil"/>
              <w:left w:val="nil"/>
              <w:bottom w:val="single" w:color="auto" w:sz="8" w:space="0"/>
              <w:right w:val="single" w:color="auto" w:sz="8"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商业</w:t>
            </w:r>
          </w:p>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企业</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科研</w:t>
            </w:r>
          </w:p>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机构</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社会公益组织</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法律服务机构</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其他</w:t>
            </w:r>
          </w:p>
        </w:tc>
        <w:tc>
          <w:tcPr>
            <w:tcW w:w="685" w:type="dxa"/>
            <w:vMerge w:val="continue"/>
            <w:tcBorders>
              <w:top w:val="single" w:color="auto" w:sz="8" w:space="0"/>
              <w:left w:val="nil"/>
              <w:bottom w:val="outset" w:color="auto" w:sz="6" w:space="0"/>
              <w:right w:val="single" w:color="auto" w:sz="8"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4946" w:type="dxa"/>
            <w:gridSpan w:val="3"/>
            <w:tcBorders>
              <w:top w:val="nil"/>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一、本年新收政府信息公开申请数量</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lang w:val="en-US" w:eastAsia="zh-CN"/>
              </w:rPr>
            </w:pPr>
            <w:r>
              <w:rPr>
                <w:rFonts w:hint="eastAsia" w:ascii="仿宋_GB2312" w:hAnsi="仿宋_GB2312" w:eastAsia="仿宋_GB2312" w:cs="仿宋_GB2312"/>
                <w:kern w:val="0"/>
                <w:sz w:val="20"/>
                <w:szCs w:val="20"/>
                <w:lang w:bidi="ar"/>
              </w:rPr>
              <w:t> </w:t>
            </w:r>
            <w:r>
              <w:rPr>
                <w:rFonts w:hint="eastAsia" w:ascii="仿宋_GB2312" w:hAnsi="仿宋_GB2312" w:eastAsia="仿宋_GB2312" w:cs="仿宋_GB2312"/>
                <w:kern w:val="0"/>
                <w:sz w:val="20"/>
                <w:szCs w:val="20"/>
                <w:lang w:val="en-US" w:eastAsia="zh-CN" w:bidi="ar"/>
              </w:rPr>
              <w:t>19</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0 </w:t>
            </w:r>
          </w:p>
        </w:tc>
        <w:tc>
          <w:tcPr>
            <w:tcW w:w="685" w:type="dxa"/>
            <w:tcBorders>
              <w:top w:val="nil"/>
              <w:left w:val="nil"/>
              <w:bottom w:val="single" w:color="auto" w:sz="8" w:space="0"/>
              <w:right w:val="single" w:color="auto" w:sz="8" w:space="0"/>
            </w:tcBorders>
            <w:shd w:val="clear" w:color="auto" w:fill="auto"/>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lang w:val="en-US" w:eastAsia="zh-CN"/>
              </w:rPr>
            </w:pPr>
            <w:r>
              <w:rPr>
                <w:rFonts w:hint="eastAsia" w:ascii="仿宋_GB2312" w:hAnsi="仿宋_GB2312" w:eastAsia="仿宋_GB2312" w:cs="仿宋_GB2312"/>
                <w:kern w:val="0"/>
                <w:sz w:val="20"/>
                <w:szCs w:val="20"/>
                <w:lang w:val="en-US" w:eastAsia="zh-CN" w:bidi="ar"/>
              </w:rPr>
              <w:t>19</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4946" w:type="dxa"/>
            <w:gridSpan w:val="3"/>
            <w:tcBorders>
              <w:top w:val="nil"/>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二、上年结转政府信息公开申请数量</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0 </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restart"/>
            <w:tcBorders>
              <w:top w:val="nil"/>
              <w:left w:val="single" w:color="auto" w:sz="8" w:space="0"/>
              <w:bottom w:val="outset" w:color="auto" w:sz="6"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三、本年度办理结果</w:t>
            </w:r>
          </w:p>
        </w:tc>
        <w:tc>
          <w:tcPr>
            <w:tcW w:w="4192" w:type="dxa"/>
            <w:gridSpan w:val="2"/>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（一）予以公开</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lang w:val="en-US" w:eastAsia="zh-CN"/>
              </w:rPr>
            </w:pPr>
            <w:r>
              <w:rPr>
                <w:rFonts w:hint="eastAsia" w:ascii="仿宋_GB2312" w:hAnsi="仿宋_GB2312" w:eastAsia="仿宋_GB2312" w:cs="仿宋_GB2312"/>
                <w:kern w:val="0"/>
                <w:sz w:val="20"/>
                <w:szCs w:val="20"/>
                <w:lang w:val="en-US" w:eastAsia="zh-CN" w:bidi="ar"/>
              </w:rPr>
              <w:t>13</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0 </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0 </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0 </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0 </w:t>
            </w:r>
          </w:p>
        </w:tc>
        <w:tc>
          <w:tcPr>
            <w:tcW w:w="685" w:type="dxa"/>
            <w:tcBorders>
              <w:top w:val="single" w:color="auto" w:sz="8" w:space="0"/>
              <w:left w:val="nil"/>
              <w:bottom w:val="single" w:color="auto" w:sz="8" w:space="0"/>
              <w:right w:val="single" w:color="auto" w:sz="8" w:space="0"/>
            </w:tcBorders>
            <w:shd w:val="clear" w:color="auto" w:fill="auto"/>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lang w:val="en-US" w:eastAsia="zh-CN"/>
              </w:rPr>
            </w:pPr>
            <w:r>
              <w:rPr>
                <w:rFonts w:hint="eastAsia" w:ascii="仿宋_GB2312" w:hAnsi="仿宋_GB2312" w:eastAsia="仿宋_GB2312" w:cs="仿宋_GB2312"/>
                <w:kern w:val="0"/>
                <w:sz w:val="20"/>
                <w:szCs w:val="20"/>
                <w:lang w:val="en-US" w:eastAsia="zh-CN" w:bidi="ar"/>
              </w:rPr>
              <w:t>13</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4192" w:type="dxa"/>
            <w:gridSpan w:val="2"/>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（二）部分公开（区分处理的，只计这一情形，不计其他情形）</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0 </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kern w:val="0"/>
                <w:sz w:val="20"/>
                <w:szCs w:val="20"/>
                <w:lang w:bidi="ar"/>
              </w:rPr>
            </w:pPr>
            <w:r>
              <w:rPr>
                <w:rFonts w:hint="eastAsia" w:ascii="仿宋_GB2312" w:hAnsi="仿宋_GB2312" w:eastAsia="仿宋_GB2312" w:cs="仿宋_GB2312"/>
                <w:kern w:val="0"/>
                <w:sz w:val="20"/>
                <w:szCs w:val="20"/>
                <w:lang w:bidi="ar"/>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921" w:type="dxa"/>
            <w:vMerge w:val="restart"/>
            <w:tcBorders>
              <w:top w:val="nil"/>
              <w:left w:val="nil"/>
              <w:bottom w:val="outset" w:color="auto" w:sz="6"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（三）不予公开</w:t>
            </w:r>
          </w:p>
        </w:tc>
        <w:tc>
          <w:tcPr>
            <w:tcW w:w="3271" w:type="dxa"/>
            <w:tcBorders>
              <w:top w:val="nil"/>
              <w:left w:val="nil"/>
              <w:bottom w:val="single" w:color="auto" w:sz="8" w:space="0"/>
              <w:right w:val="single" w:color="auto" w:sz="8" w:space="0"/>
            </w:tcBorders>
            <w:shd w:val="clear" w:color="auto" w:fill="auto"/>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1.属于国家秘密</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0 </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kern w:val="0"/>
                <w:sz w:val="20"/>
                <w:szCs w:val="20"/>
                <w:lang w:bidi="ar"/>
              </w:rPr>
            </w:pPr>
            <w:r>
              <w:rPr>
                <w:rFonts w:hint="eastAsia" w:ascii="仿宋_GB2312" w:hAnsi="仿宋_GB2312" w:eastAsia="仿宋_GB2312" w:cs="仿宋_GB2312"/>
                <w:kern w:val="0"/>
                <w:sz w:val="20"/>
                <w:szCs w:val="20"/>
                <w:lang w:bidi="ar"/>
              </w:rPr>
              <w:t>0</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921" w:type="dxa"/>
            <w:vMerge w:val="continue"/>
            <w:tcBorders>
              <w:top w:val="nil"/>
              <w:left w:val="nil"/>
              <w:bottom w:val="outset" w:color="auto" w:sz="6" w:space="0"/>
              <w:right w:val="single" w:color="auto" w:sz="8"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3271" w:type="dxa"/>
            <w:tcBorders>
              <w:top w:val="nil"/>
              <w:left w:val="nil"/>
              <w:bottom w:val="single" w:color="auto" w:sz="8" w:space="0"/>
              <w:right w:val="single" w:color="auto" w:sz="8" w:space="0"/>
            </w:tcBorders>
            <w:shd w:val="clear" w:color="auto" w:fill="auto"/>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2.其他法律行政法规禁止公开</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0 </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kern w:val="0"/>
                <w:sz w:val="20"/>
                <w:szCs w:val="20"/>
                <w:lang w:bidi="ar"/>
              </w:rPr>
            </w:pPr>
            <w:r>
              <w:rPr>
                <w:rFonts w:hint="eastAsia" w:ascii="仿宋_GB2312" w:hAnsi="仿宋_GB2312" w:eastAsia="仿宋_GB2312" w:cs="仿宋_GB2312"/>
                <w:kern w:val="0"/>
                <w:sz w:val="20"/>
                <w:szCs w:val="20"/>
                <w:lang w:bidi="ar"/>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921" w:type="dxa"/>
            <w:vMerge w:val="continue"/>
            <w:tcBorders>
              <w:top w:val="nil"/>
              <w:left w:val="nil"/>
              <w:bottom w:val="outset" w:color="auto" w:sz="6" w:space="0"/>
              <w:right w:val="single" w:color="auto" w:sz="8"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3271" w:type="dxa"/>
            <w:tcBorders>
              <w:top w:val="nil"/>
              <w:left w:val="nil"/>
              <w:bottom w:val="single" w:color="auto" w:sz="8" w:space="0"/>
              <w:right w:val="single" w:color="auto" w:sz="8" w:space="0"/>
            </w:tcBorders>
            <w:shd w:val="clear" w:color="auto" w:fill="auto"/>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3.危及“三安全一稳定”</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0 </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921" w:type="dxa"/>
            <w:vMerge w:val="continue"/>
            <w:tcBorders>
              <w:top w:val="nil"/>
              <w:left w:val="nil"/>
              <w:bottom w:val="outset" w:color="auto" w:sz="6" w:space="0"/>
              <w:right w:val="single" w:color="auto" w:sz="8"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3271" w:type="dxa"/>
            <w:tcBorders>
              <w:top w:val="nil"/>
              <w:left w:val="nil"/>
              <w:bottom w:val="single" w:color="auto" w:sz="8" w:space="0"/>
              <w:right w:val="single" w:color="auto" w:sz="8" w:space="0"/>
            </w:tcBorders>
            <w:shd w:val="clear" w:color="auto" w:fill="auto"/>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4.保护第三方合法权益</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0 </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921" w:type="dxa"/>
            <w:vMerge w:val="continue"/>
            <w:tcBorders>
              <w:top w:val="nil"/>
              <w:left w:val="nil"/>
              <w:bottom w:val="outset" w:color="auto" w:sz="6" w:space="0"/>
              <w:right w:val="single" w:color="auto" w:sz="8"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3271" w:type="dxa"/>
            <w:tcBorders>
              <w:top w:val="nil"/>
              <w:left w:val="nil"/>
              <w:bottom w:val="single" w:color="auto" w:sz="8" w:space="0"/>
              <w:right w:val="single" w:color="auto" w:sz="8" w:space="0"/>
            </w:tcBorders>
            <w:shd w:val="clear" w:color="auto" w:fill="auto"/>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5.属于三类内部事务信息</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0 </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921" w:type="dxa"/>
            <w:vMerge w:val="continue"/>
            <w:tcBorders>
              <w:top w:val="nil"/>
              <w:left w:val="nil"/>
              <w:bottom w:val="outset" w:color="auto" w:sz="6" w:space="0"/>
              <w:right w:val="single" w:color="auto" w:sz="8"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3271" w:type="dxa"/>
            <w:tcBorders>
              <w:top w:val="nil"/>
              <w:left w:val="nil"/>
              <w:bottom w:val="single" w:color="auto" w:sz="8" w:space="0"/>
              <w:right w:val="single" w:color="auto" w:sz="8" w:space="0"/>
            </w:tcBorders>
            <w:shd w:val="clear" w:color="auto" w:fill="auto"/>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6.属于四类过程性信息</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0 </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921" w:type="dxa"/>
            <w:vMerge w:val="continue"/>
            <w:tcBorders>
              <w:top w:val="nil"/>
              <w:left w:val="nil"/>
              <w:bottom w:val="outset" w:color="auto" w:sz="6" w:space="0"/>
              <w:right w:val="single" w:color="auto" w:sz="8"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3271" w:type="dxa"/>
            <w:tcBorders>
              <w:top w:val="nil"/>
              <w:left w:val="nil"/>
              <w:bottom w:val="single" w:color="auto" w:sz="8" w:space="0"/>
              <w:right w:val="single" w:color="auto" w:sz="8" w:space="0"/>
            </w:tcBorders>
            <w:shd w:val="clear" w:color="auto" w:fill="auto"/>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7.属于行政执法案卷</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0 </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921" w:type="dxa"/>
            <w:vMerge w:val="continue"/>
            <w:tcBorders>
              <w:top w:val="nil"/>
              <w:left w:val="nil"/>
              <w:bottom w:val="outset" w:color="auto" w:sz="6" w:space="0"/>
              <w:right w:val="single" w:color="auto" w:sz="8"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3271" w:type="dxa"/>
            <w:tcBorders>
              <w:top w:val="nil"/>
              <w:left w:val="nil"/>
              <w:bottom w:val="single" w:color="auto" w:sz="8" w:space="0"/>
              <w:right w:val="single" w:color="auto" w:sz="8" w:space="0"/>
            </w:tcBorders>
            <w:shd w:val="clear" w:color="auto" w:fill="auto"/>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8.属于行政查询事项</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0 </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921" w:type="dxa"/>
            <w:vMerge w:val="restart"/>
            <w:tcBorders>
              <w:top w:val="nil"/>
              <w:left w:val="nil"/>
              <w:bottom w:val="outset" w:color="auto" w:sz="6"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（四）无法提供</w:t>
            </w:r>
          </w:p>
        </w:tc>
        <w:tc>
          <w:tcPr>
            <w:tcW w:w="3271" w:type="dxa"/>
            <w:tcBorders>
              <w:top w:val="nil"/>
              <w:left w:val="nil"/>
              <w:bottom w:val="single" w:color="auto" w:sz="8" w:space="0"/>
              <w:right w:val="single" w:color="auto" w:sz="8" w:space="0"/>
            </w:tcBorders>
            <w:shd w:val="clear" w:color="auto" w:fill="auto"/>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1.本机关不掌握相关政府信息</w:t>
            </w:r>
          </w:p>
        </w:tc>
        <w:tc>
          <w:tcPr>
            <w:tcW w:w="685" w:type="dxa"/>
            <w:tcBorders>
              <w:top w:val="nil"/>
              <w:left w:val="nil"/>
              <w:bottom w:val="single" w:color="auto" w:sz="8" w:space="0"/>
              <w:right w:val="single" w:color="auto" w:sz="8" w:space="0"/>
            </w:tcBorders>
            <w:shd w:val="clear" w:color="auto" w:fill="auto"/>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lang w:eastAsia="zh-CN"/>
              </w:rPr>
            </w:pPr>
            <w:r>
              <w:rPr>
                <w:rFonts w:hint="eastAsia" w:ascii="仿宋_GB2312" w:hAnsi="仿宋_GB2312" w:eastAsia="仿宋_GB2312" w:cs="仿宋_GB2312"/>
                <w:kern w:val="0"/>
                <w:sz w:val="20"/>
                <w:szCs w:val="20"/>
                <w:lang w:val="en-US" w:eastAsia="zh-CN" w:bidi="ar"/>
              </w:rPr>
              <w:t>5</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0 </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w:t>
            </w:r>
          </w:p>
        </w:tc>
        <w:tc>
          <w:tcPr>
            <w:tcW w:w="685" w:type="dxa"/>
            <w:tcBorders>
              <w:top w:val="nil"/>
              <w:left w:val="nil"/>
              <w:bottom w:val="single" w:color="auto" w:sz="8" w:space="0"/>
              <w:right w:val="single" w:color="auto" w:sz="8" w:space="0"/>
            </w:tcBorders>
            <w:shd w:val="clear" w:color="auto" w:fill="auto"/>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lang w:eastAsia="zh-CN"/>
              </w:rPr>
            </w:pPr>
            <w:r>
              <w:rPr>
                <w:rFonts w:hint="eastAsia" w:ascii="仿宋_GB2312" w:hAnsi="仿宋_GB2312" w:eastAsia="仿宋_GB2312" w:cs="仿宋_GB2312"/>
                <w:kern w:val="0"/>
                <w:sz w:val="20"/>
                <w:szCs w:val="20"/>
                <w:lang w:val="en-US" w:eastAsia="zh-CN" w:bidi="ar"/>
              </w:rPr>
              <w:t>5</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921" w:type="dxa"/>
            <w:vMerge w:val="continue"/>
            <w:tcBorders>
              <w:top w:val="nil"/>
              <w:left w:val="nil"/>
              <w:bottom w:val="outset" w:color="auto" w:sz="6" w:space="0"/>
              <w:right w:val="single" w:color="auto" w:sz="8"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3271" w:type="dxa"/>
            <w:tcBorders>
              <w:top w:val="nil"/>
              <w:left w:val="nil"/>
              <w:bottom w:val="single" w:color="auto" w:sz="8" w:space="0"/>
              <w:right w:val="single" w:color="auto" w:sz="8" w:space="0"/>
            </w:tcBorders>
            <w:shd w:val="clear" w:color="auto" w:fill="auto"/>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2.没有现成信息需要另行制作</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lang w:val="en-US" w:eastAsia="zh-CN"/>
              </w:rPr>
            </w:pPr>
            <w:r>
              <w:rPr>
                <w:rFonts w:hint="eastAsia" w:ascii="仿宋_GB2312" w:hAnsi="仿宋_GB2312" w:eastAsia="仿宋_GB2312" w:cs="仿宋_GB2312"/>
                <w:kern w:val="0"/>
                <w:sz w:val="20"/>
                <w:szCs w:val="20"/>
                <w:lang w:bidi="ar"/>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0 </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921" w:type="dxa"/>
            <w:vMerge w:val="continue"/>
            <w:tcBorders>
              <w:top w:val="nil"/>
              <w:left w:val="nil"/>
              <w:bottom w:val="outset" w:color="auto" w:sz="6" w:space="0"/>
              <w:right w:val="single" w:color="auto" w:sz="8"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3271" w:type="dxa"/>
            <w:tcBorders>
              <w:top w:val="nil"/>
              <w:left w:val="nil"/>
              <w:bottom w:val="single" w:color="auto" w:sz="8" w:space="0"/>
              <w:right w:val="single" w:color="auto" w:sz="8" w:space="0"/>
            </w:tcBorders>
            <w:shd w:val="clear" w:color="auto" w:fill="auto"/>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3.补正后申请内容仍不明确</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lang w:eastAsia="zh-CN"/>
              </w:rPr>
            </w:pPr>
            <w:r>
              <w:rPr>
                <w:rFonts w:hint="eastAsia" w:ascii="仿宋_GB2312" w:hAnsi="仿宋_GB2312" w:eastAsia="仿宋_GB2312" w:cs="仿宋_GB2312"/>
                <w:kern w:val="0"/>
                <w:sz w:val="20"/>
                <w:szCs w:val="20"/>
                <w:lang w:bidi="ar"/>
              </w:rPr>
              <w:t> </w:t>
            </w:r>
            <w:r>
              <w:rPr>
                <w:rFonts w:hint="eastAsia" w:ascii="仿宋_GB2312" w:hAnsi="仿宋_GB2312" w:eastAsia="仿宋_GB2312" w:cs="仿宋_GB2312"/>
                <w:kern w:val="0"/>
                <w:sz w:val="20"/>
                <w:szCs w:val="20"/>
                <w:lang w:val="en-US" w:eastAsia="zh-CN" w:bidi="ar"/>
              </w:rPr>
              <w:t>1</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0 </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lang w:eastAsia="zh-CN"/>
              </w:rPr>
            </w:pPr>
            <w:r>
              <w:rPr>
                <w:rFonts w:hint="eastAsia" w:ascii="仿宋_GB2312" w:hAnsi="仿宋_GB2312" w:eastAsia="仿宋_GB2312" w:cs="仿宋_GB2312"/>
                <w:kern w:val="0"/>
                <w:sz w:val="20"/>
                <w:szCs w:val="20"/>
                <w:lang w:bidi="ar"/>
              </w:rPr>
              <w:t> </w:t>
            </w:r>
            <w:r>
              <w:rPr>
                <w:rFonts w:hint="eastAsia" w:ascii="仿宋_GB2312" w:hAnsi="仿宋_GB2312" w:eastAsia="仿宋_GB2312" w:cs="仿宋_GB2312"/>
                <w:kern w:val="0"/>
                <w:sz w:val="20"/>
                <w:szCs w:val="20"/>
                <w:lang w:val="en-US" w:eastAsia="zh-CN" w:bidi="ar"/>
              </w:rPr>
              <w:t>1</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921" w:type="dxa"/>
            <w:vMerge w:val="restart"/>
            <w:tcBorders>
              <w:top w:val="nil"/>
              <w:left w:val="nil"/>
              <w:bottom w:val="outset" w:color="auto" w:sz="6"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（五）不予处理</w:t>
            </w:r>
          </w:p>
        </w:tc>
        <w:tc>
          <w:tcPr>
            <w:tcW w:w="3271" w:type="dxa"/>
            <w:tcBorders>
              <w:top w:val="nil"/>
              <w:left w:val="nil"/>
              <w:bottom w:val="single" w:color="auto" w:sz="8" w:space="0"/>
              <w:right w:val="single" w:color="auto" w:sz="8" w:space="0"/>
            </w:tcBorders>
            <w:shd w:val="clear" w:color="auto" w:fill="auto"/>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1.信访举报投诉类申请</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0 </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921" w:type="dxa"/>
            <w:vMerge w:val="continue"/>
            <w:tcBorders>
              <w:top w:val="nil"/>
              <w:left w:val="nil"/>
              <w:bottom w:val="outset" w:color="auto" w:sz="6" w:space="0"/>
              <w:right w:val="single" w:color="auto" w:sz="8"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3271" w:type="dxa"/>
            <w:tcBorders>
              <w:top w:val="single" w:color="auto" w:sz="8" w:space="0"/>
              <w:left w:val="nil"/>
              <w:bottom w:val="single" w:color="auto" w:sz="8" w:space="0"/>
              <w:right w:val="single" w:color="auto" w:sz="8" w:space="0"/>
            </w:tcBorders>
            <w:shd w:val="clear" w:color="auto" w:fill="auto"/>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2.重复申请</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0 </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921" w:type="dxa"/>
            <w:vMerge w:val="continue"/>
            <w:tcBorders>
              <w:top w:val="nil"/>
              <w:left w:val="nil"/>
              <w:bottom w:val="outset" w:color="auto" w:sz="6" w:space="0"/>
              <w:right w:val="single" w:color="auto" w:sz="8"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3271" w:type="dxa"/>
            <w:tcBorders>
              <w:top w:val="single" w:color="auto" w:sz="8" w:space="0"/>
              <w:left w:val="nil"/>
              <w:bottom w:val="single" w:color="auto" w:sz="8" w:space="0"/>
              <w:right w:val="single" w:color="auto" w:sz="8" w:space="0"/>
            </w:tcBorders>
            <w:shd w:val="clear" w:color="auto" w:fill="auto"/>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3.要求提供公开出版物</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0 </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921" w:type="dxa"/>
            <w:vMerge w:val="continue"/>
            <w:tcBorders>
              <w:top w:val="nil"/>
              <w:left w:val="nil"/>
              <w:bottom w:val="outset" w:color="auto" w:sz="6" w:space="0"/>
              <w:right w:val="single" w:color="auto" w:sz="8"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3271" w:type="dxa"/>
            <w:tcBorders>
              <w:top w:val="single" w:color="auto" w:sz="8" w:space="0"/>
              <w:left w:val="nil"/>
              <w:bottom w:val="single" w:color="auto" w:sz="8" w:space="0"/>
              <w:right w:val="single" w:color="auto" w:sz="8" w:space="0"/>
            </w:tcBorders>
            <w:shd w:val="clear" w:color="auto" w:fill="auto"/>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4.无正当理由大量反复申请</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0 </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trHeight w:val="779" w:hRule="atLeast"/>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921" w:type="dxa"/>
            <w:vMerge w:val="continue"/>
            <w:tcBorders>
              <w:top w:val="nil"/>
              <w:left w:val="nil"/>
              <w:bottom w:val="outset" w:color="auto" w:sz="6" w:space="0"/>
              <w:right w:val="single" w:color="auto" w:sz="8"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3271" w:type="dxa"/>
            <w:tcBorders>
              <w:top w:val="nil"/>
              <w:left w:val="nil"/>
              <w:bottom w:val="outset" w:color="auto" w:sz="6"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5.要求行政机关确认或重新出具已获取信息</w:t>
            </w:r>
          </w:p>
        </w:tc>
        <w:tc>
          <w:tcPr>
            <w:tcW w:w="685" w:type="dxa"/>
            <w:tcBorders>
              <w:top w:val="nil"/>
              <w:left w:val="nil"/>
              <w:bottom w:val="outset" w:color="auto" w:sz="6"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outset" w:color="auto" w:sz="6"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outset" w:color="auto" w:sz="6"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outset" w:color="auto" w:sz="6"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0 </w:t>
            </w:r>
          </w:p>
        </w:tc>
        <w:tc>
          <w:tcPr>
            <w:tcW w:w="685" w:type="dxa"/>
            <w:tcBorders>
              <w:top w:val="nil"/>
              <w:left w:val="nil"/>
              <w:bottom w:val="outset" w:color="auto" w:sz="6"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outset" w:color="auto" w:sz="6"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w:t>
            </w:r>
          </w:p>
        </w:tc>
        <w:tc>
          <w:tcPr>
            <w:tcW w:w="685" w:type="dxa"/>
            <w:tcBorders>
              <w:top w:val="nil"/>
              <w:left w:val="nil"/>
              <w:bottom w:val="outset" w:color="auto" w:sz="6"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921" w:type="dxa"/>
            <w:vMerge w:val="restart"/>
            <w:tcBorders>
              <w:top w:val="outset" w:color="auto" w:sz="6" w:space="0"/>
              <w:left w:val="nil"/>
              <w:bottom w:val="outset" w:color="auto" w:sz="6"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（六）其他处理</w:t>
            </w:r>
          </w:p>
        </w:tc>
        <w:tc>
          <w:tcPr>
            <w:tcW w:w="3271"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1.申请人无正当理由逾期不补正、行政机关不再处理其政府信息公开申请</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0 </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921" w:type="dxa"/>
            <w:vMerge w:val="continue"/>
            <w:tcBorders>
              <w:top w:val="outset" w:color="auto" w:sz="6" w:space="0"/>
              <w:left w:val="nil"/>
              <w:bottom w:val="outset" w:color="auto" w:sz="6" w:space="0"/>
              <w:right w:val="single" w:color="auto" w:sz="8"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3271"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2.申请人逾期未按收费通知要求缴纳费用、行政机关不再处理其政府信息公开申请</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0 </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921" w:type="dxa"/>
            <w:vMerge w:val="continue"/>
            <w:tcBorders>
              <w:top w:val="outset" w:color="auto" w:sz="6" w:space="0"/>
              <w:left w:val="nil"/>
              <w:bottom w:val="outset" w:color="auto" w:sz="6" w:space="0"/>
              <w:right w:val="single" w:color="auto" w:sz="8"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3271"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3.其他</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0 </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4192" w:type="dxa"/>
            <w:gridSpan w:val="2"/>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（七）总计</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lang w:val="en-US" w:eastAsia="zh-CN"/>
              </w:rPr>
            </w:pPr>
            <w:r>
              <w:rPr>
                <w:rFonts w:hint="eastAsia" w:ascii="仿宋_GB2312" w:hAnsi="仿宋_GB2312" w:eastAsia="仿宋_GB2312" w:cs="仿宋_GB2312"/>
                <w:kern w:val="0"/>
                <w:sz w:val="20"/>
                <w:szCs w:val="20"/>
                <w:lang w:val="en-US" w:eastAsia="zh-CN" w:bidi="ar"/>
              </w:rPr>
              <w:t>19</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0 </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w:t>
            </w:r>
          </w:p>
        </w:tc>
        <w:tc>
          <w:tcPr>
            <w:tcW w:w="685" w:type="dxa"/>
            <w:tcBorders>
              <w:top w:val="nil"/>
              <w:left w:val="nil"/>
              <w:bottom w:val="single" w:color="auto" w:sz="8" w:space="0"/>
              <w:right w:val="single" w:color="auto" w:sz="8" w:space="0"/>
            </w:tcBorders>
            <w:shd w:val="clear" w:color="auto" w:fill="auto"/>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lang w:val="en-US" w:eastAsia="zh-CN"/>
              </w:rPr>
            </w:pPr>
            <w:r>
              <w:rPr>
                <w:rFonts w:hint="eastAsia" w:ascii="仿宋_GB2312" w:hAnsi="仿宋_GB2312" w:eastAsia="仿宋_GB2312" w:cs="仿宋_GB2312"/>
                <w:kern w:val="0"/>
                <w:sz w:val="20"/>
                <w:szCs w:val="20"/>
                <w:lang w:val="en-US" w:eastAsia="zh-CN" w:bidi="ar"/>
              </w:rPr>
              <w:t>19</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4946" w:type="dxa"/>
            <w:gridSpan w:val="3"/>
            <w:tcBorders>
              <w:top w:val="nil"/>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四、结转下年度继续办理</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0 </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szCs w:val="21"/>
              </w:rPr>
            </w:pPr>
            <w:r>
              <w:rPr>
                <w:rFonts w:hint="eastAsia" w:ascii="仿宋_GB2312" w:hAnsi="仿宋_GB2312" w:eastAsia="仿宋_GB2312" w:cs="仿宋_GB2312"/>
                <w:kern w:val="0"/>
                <w:sz w:val="20"/>
                <w:szCs w:val="20"/>
                <w:lang w:bidi="ar"/>
              </w:rPr>
              <w:t> 0</w:t>
            </w:r>
          </w:p>
        </w:tc>
      </w:tr>
    </w:tbl>
    <w:p>
      <w:pPr>
        <w:ind w:firstLine="632" w:firstLineChars="200"/>
        <w:rPr>
          <w:rFonts w:hint="eastAsia" w:ascii="仿宋_GB2312" w:hAnsi="仿宋_GB2312" w:eastAsia="仿宋_GB2312" w:cs="仿宋_GB2312"/>
          <w:bCs/>
          <w:szCs w:val="32"/>
        </w:rPr>
      </w:pPr>
      <w:r>
        <w:rPr>
          <w:rFonts w:hint="eastAsia" w:ascii="仿宋_GB2312" w:hAnsi="仿宋_GB2312" w:eastAsia="仿宋_GB2312" w:cs="仿宋_GB2312"/>
          <w:bCs/>
          <w:szCs w:val="32"/>
        </w:rPr>
        <w:t>四、政府信息公开行政复议、行政诉讼情况</w:t>
      </w:r>
    </w:p>
    <w:tbl>
      <w:tblPr>
        <w:tblStyle w:val="8"/>
        <w:tblW w:w="97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0"/>
        <w:gridCol w:w="650"/>
        <w:gridCol w:w="650"/>
        <w:gridCol w:w="650"/>
        <w:gridCol w:w="650"/>
        <w:gridCol w:w="649"/>
        <w:gridCol w:w="649"/>
        <w:gridCol w:w="650"/>
        <w:gridCol w:w="650"/>
        <w:gridCol w:w="650"/>
        <w:gridCol w:w="650"/>
        <w:gridCol w:w="650"/>
        <w:gridCol w:w="650"/>
        <w:gridCol w:w="650"/>
        <w:gridCol w:w="6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10"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行政复议</w:t>
            </w:r>
          </w:p>
        </w:tc>
        <w:tc>
          <w:tcPr>
            <w:tcW w:w="6428"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行政诉讼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2"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结果维持</w:t>
            </w:r>
          </w:p>
        </w:tc>
        <w:tc>
          <w:tcPr>
            <w:tcW w:w="642"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结果</w:t>
            </w:r>
            <w:r>
              <w:rPr>
                <w:rFonts w:hint="eastAsia" w:ascii="仿宋_GB2312" w:hAnsi="仿宋_GB2312" w:eastAsia="仿宋_GB2312" w:cs="仿宋_GB2312"/>
                <w:kern w:val="0"/>
                <w:sz w:val="20"/>
                <w:szCs w:val="20"/>
                <w:lang w:bidi="ar"/>
              </w:rPr>
              <w:br w:type="textWrapping"/>
            </w:r>
            <w:r>
              <w:rPr>
                <w:rFonts w:hint="eastAsia" w:ascii="仿宋_GB2312" w:hAnsi="仿宋_GB2312" w:eastAsia="仿宋_GB2312" w:cs="仿宋_GB2312"/>
                <w:kern w:val="0"/>
                <w:sz w:val="20"/>
                <w:szCs w:val="20"/>
                <w:lang w:bidi="ar"/>
              </w:rPr>
              <w:t>纠正</w:t>
            </w:r>
          </w:p>
        </w:tc>
        <w:tc>
          <w:tcPr>
            <w:tcW w:w="64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其他</w:t>
            </w:r>
            <w:r>
              <w:rPr>
                <w:rFonts w:hint="eastAsia" w:ascii="仿宋_GB2312" w:hAnsi="仿宋_GB2312" w:eastAsia="仿宋_GB2312" w:cs="仿宋_GB2312"/>
                <w:kern w:val="0"/>
                <w:sz w:val="20"/>
                <w:szCs w:val="20"/>
                <w:lang w:bidi="ar"/>
              </w:rPr>
              <w:br w:type="textWrapping"/>
            </w:r>
            <w:r>
              <w:rPr>
                <w:rFonts w:hint="eastAsia" w:ascii="仿宋_GB2312" w:hAnsi="仿宋_GB2312" w:eastAsia="仿宋_GB2312" w:cs="仿宋_GB2312"/>
                <w:kern w:val="0"/>
                <w:sz w:val="20"/>
                <w:szCs w:val="20"/>
                <w:lang w:bidi="ar"/>
              </w:rPr>
              <w:t>结果</w:t>
            </w:r>
          </w:p>
        </w:tc>
        <w:tc>
          <w:tcPr>
            <w:tcW w:w="64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尚未</w:t>
            </w:r>
            <w:r>
              <w:rPr>
                <w:rFonts w:hint="eastAsia" w:ascii="仿宋_GB2312" w:hAnsi="仿宋_GB2312" w:eastAsia="仿宋_GB2312" w:cs="仿宋_GB2312"/>
                <w:kern w:val="0"/>
                <w:sz w:val="20"/>
                <w:szCs w:val="20"/>
                <w:lang w:bidi="ar"/>
              </w:rPr>
              <w:br w:type="textWrapping"/>
            </w:r>
            <w:r>
              <w:rPr>
                <w:rFonts w:hint="eastAsia" w:ascii="仿宋_GB2312" w:hAnsi="仿宋_GB2312" w:eastAsia="仿宋_GB2312" w:cs="仿宋_GB2312"/>
                <w:kern w:val="0"/>
                <w:sz w:val="20"/>
                <w:szCs w:val="20"/>
                <w:lang w:bidi="ar"/>
              </w:rPr>
              <w:t>审结</w:t>
            </w:r>
          </w:p>
        </w:tc>
        <w:tc>
          <w:tcPr>
            <w:tcW w:w="64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总计</w:t>
            </w:r>
          </w:p>
        </w:tc>
        <w:tc>
          <w:tcPr>
            <w:tcW w:w="3213"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未经复议直接起诉</w:t>
            </w:r>
          </w:p>
        </w:tc>
        <w:tc>
          <w:tcPr>
            <w:tcW w:w="3215"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复议后起诉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2" w:type="dxa"/>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642" w:type="dxa"/>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64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64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64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Cs w:val="21"/>
              </w:rPr>
            </w:pPr>
          </w:p>
        </w:tc>
        <w:tc>
          <w:tcPr>
            <w:tcW w:w="6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结果</w:t>
            </w:r>
            <w:r>
              <w:rPr>
                <w:rFonts w:hint="eastAsia" w:ascii="仿宋_GB2312" w:hAnsi="仿宋_GB2312" w:eastAsia="仿宋_GB2312" w:cs="仿宋_GB2312"/>
                <w:kern w:val="0"/>
                <w:sz w:val="20"/>
                <w:szCs w:val="20"/>
                <w:lang w:bidi="ar"/>
              </w:rPr>
              <w:br w:type="textWrapping"/>
            </w:r>
            <w:r>
              <w:rPr>
                <w:rFonts w:hint="eastAsia" w:ascii="仿宋_GB2312" w:hAnsi="仿宋_GB2312" w:eastAsia="仿宋_GB2312" w:cs="仿宋_GB2312"/>
                <w:kern w:val="0"/>
                <w:sz w:val="20"/>
                <w:szCs w:val="20"/>
                <w:lang w:bidi="ar"/>
              </w:rPr>
              <w:t>维持</w:t>
            </w:r>
          </w:p>
        </w:tc>
        <w:tc>
          <w:tcPr>
            <w:tcW w:w="6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结果</w:t>
            </w:r>
            <w:r>
              <w:rPr>
                <w:rFonts w:hint="eastAsia" w:ascii="仿宋_GB2312" w:hAnsi="仿宋_GB2312" w:eastAsia="仿宋_GB2312" w:cs="仿宋_GB2312"/>
                <w:kern w:val="0"/>
                <w:sz w:val="20"/>
                <w:szCs w:val="20"/>
                <w:lang w:bidi="ar"/>
              </w:rPr>
              <w:br w:type="textWrapping"/>
            </w:r>
            <w:r>
              <w:rPr>
                <w:rFonts w:hint="eastAsia" w:ascii="仿宋_GB2312" w:hAnsi="仿宋_GB2312" w:eastAsia="仿宋_GB2312" w:cs="仿宋_GB2312"/>
                <w:kern w:val="0"/>
                <w:sz w:val="20"/>
                <w:szCs w:val="20"/>
                <w:lang w:bidi="ar"/>
              </w:rPr>
              <w:t>纠正</w:t>
            </w:r>
          </w:p>
        </w:tc>
        <w:tc>
          <w:tcPr>
            <w:tcW w:w="64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其他</w:t>
            </w:r>
            <w:r>
              <w:rPr>
                <w:rFonts w:hint="eastAsia" w:ascii="仿宋_GB2312" w:hAnsi="仿宋_GB2312" w:eastAsia="仿宋_GB2312" w:cs="仿宋_GB2312"/>
                <w:kern w:val="0"/>
                <w:sz w:val="20"/>
                <w:szCs w:val="20"/>
                <w:lang w:bidi="ar"/>
              </w:rPr>
              <w:br w:type="textWrapping"/>
            </w:r>
            <w:r>
              <w:rPr>
                <w:rFonts w:hint="eastAsia" w:ascii="仿宋_GB2312" w:hAnsi="仿宋_GB2312" w:eastAsia="仿宋_GB2312" w:cs="仿宋_GB2312"/>
                <w:kern w:val="0"/>
                <w:sz w:val="20"/>
                <w:szCs w:val="20"/>
                <w:lang w:bidi="ar"/>
              </w:rPr>
              <w:t>结果</w:t>
            </w:r>
          </w:p>
        </w:tc>
        <w:tc>
          <w:tcPr>
            <w:tcW w:w="64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尚未</w:t>
            </w:r>
            <w:r>
              <w:rPr>
                <w:rFonts w:hint="eastAsia" w:ascii="仿宋_GB2312" w:hAnsi="仿宋_GB2312" w:eastAsia="仿宋_GB2312" w:cs="仿宋_GB2312"/>
                <w:kern w:val="0"/>
                <w:sz w:val="20"/>
                <w:szCs w:val="20"/>
                <w:lang w:bidi="ar"/>
              </w:rPr>
              <w:br w:type="textWrapping"/>
            </w:r>
            <w:r>
              <w:rPr>
                <w:rFonts w:hint="eastAsia" w:ascii="仿宋_GB2312" w:hAnsi="仿宋_GB2312" w:eastAsia="仿宋_GB2312" w:cs="仿宋_GB2312"/>
                <w:kern w:val="0"/>
                <w:sz w:val="20"/>
                <w:szCs w:val="20"/>
                <w:lang w:bidi="ar"/>
              </w:rPr>
              <w:t>审结</w:t>
            </w:r>
          </w:p>
        </w:tc>
        <w:tc>
          <w:tcPr>
            <w:tcW w:w="64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总计</w:t>
            </w:r>
          </w:p>
        </w:tc>
        <w:tc>
          <w:tcPr>
            <w:tcW w:w="64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结果</w:t>
            </w:r>
            <w:r>
              <w:rPr>
                <w:rFonts w:hint="eastAsia" w:ascii="仿宋_GB2312" w:hAnsi="仿宋_GB2312" w:eastAsia="仿宋_GB2312" w:cs="仿宋_GB2312"/>
                <w:kern w:val="0"/>
                <w:sz w:val="20"/>
                <w:szCs w:val="20"/>
                <w:lang w:bidi="ar"/>
              </w:rPr>
              <w:br w:type="textWrapping"/>
            </w:r>
            <w:r>
              <w:rPr>
                <w:rFonts w:hint="eastAsia" w:ascii="仿宋_GB2312" w:hAnsi="仿宋_GB2312" w:eastAsia="仿宋_GB2312" w:cs="仿宋_GB2312"/>
                <w:kern w:val="0"/>
                <w:sz w:val="20"/>
                <w:szCs w:val="20"/>
                <w:lang w:bidi="ar"/>
              </w:rPr>
              <w:t>维持</w:t>
            </w:r>
          </w:p>
        </w:tc>
        <w:tc>
          <w:tcPr>
            <w:tcW w:w="64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结果</w:t>
            </w:r>
            <w:r>
              <w:rPr>
                <w:rFonts w:hint="eastAsia" w:ascii="仿宋_GB2312" w:hAnsi="仿宋_GB2312" w:eastAsia="仿宋_GB2312" w:cs="仿宋_GB2312"/>
                <w:kern w:val="0"/>
                <w:sz w:val="20"/>
                <w:szCs w:val="20"/>
                <w:lang w:bidi="ar"/>
              </w:rPr>
              <w:br w:type="textWrapping"/>
            </w:r>
            <w:r>
              <w:rPr>
                <w:rFonts w:hint="eastAsia" w:ascii="仿宋_GB2312" w:hAnsi="仿宋_GB2312" w:eastAsia="仿宋_GB2312" w:cs="仿宋_GB2312"/>
                <w:kern w:val="0"/>
                <w:sz w:val="20"/>
                <w:szCs w:val="20"/>
                <w:lang w:bidi="ar"/>
              </w:rPr>
              <w:t>纠正</w:t>
            </w:r>
          </w:p>
        </w:tc>
        <w:tc>
          <w:tcPr>
            <w:tcW w:w="64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其他</w:t>
            </w:r>
            <w:r>
              <w:rPr>
                <w:rFonts w:hint="eastAsia" w:ascii="仿宋_GB2312" w:hAnsi="仿宋_GB2312" w:eastAsia="仿宋_GB2312" w:cs="仿宋_GB2312"/>
                <w:kern w:val="0"/>
                <w:sz w:val="20"/>
                <w:szCs w:val="20"/>
                <w:lang w:bidi="ar"/>
              </w:rPr>
              <w:br w:type="textWrapping"/>
            </w:r>
            <w:r>
              <w:rPr>
                <w:rFonts w:hint="eastAsia" w:ascii="仿宋_GB2312" w:hAnsi="仿宋_GB2312" w:eastAsia="仿宋_GB2312" w:cs="仿宋_GB2312"/>
                <w:kern w:val="0"/>
                <w:sz w:val="20"/>
                <w:szCs w:val="20"/>
                <w:lang w:bidi="ar"/>
              </w:rPr>
              <w:t>结果</w:t>
            </w:r>
          </w:p>
        </w:tc>
        <w:tc>
          <w:tcPr>
            <w:tcW w:w="64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尚未</w:t>
            </w:r>
            <w:r>
              <w:rPr>
                <w:rFonts w:hint="eastAsia" w:ascii="仿宋_GB2312" w:hAnsi="仿宋_GB2312" w:eastAsia="仿宋_GB2312" w:cs="仿宋_GB2312"/>
                <w:kern w:val="0"/>
                <w:sz w:val="20"/>
                <w:szCs w:val="20"/>
                <w:lang w:bidi="ar"/>
              </w:rPr>
              <w:br w:type="textWrapping"/>
            </w:r>
            <w:r>
              <w:rPr>
                <w:rFonts w:hint="eastAsia" w:ascii="仿宋_GB2312" w:hAnsi="仿宋_GB2312" w:eastAsia="仿宋_GB2312" w:cs="仿宋_GB2312"/>
                <w:kern w:val="0"/>
                <w:sz w:val="20"/>
                <w:szCs w:val="20"/>
                <w:lang w:bidi="ar"/>
              </w:rPr>
              <w:t>审结</w:t>
            </w:r>
          </w:p>
        </w:tc>
        <w:tc>
          <w:tcPr>
            <w:tcW w:w="64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总计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6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0 </w:t>
            </w:r>
          </w:p>
        </w:tc>
        <w:tc>
          <w:tcPr>
            <w:tcW w:w="6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w:t>
            </w:r>
          </w:p>
        </w:tc>
        <w:tc>
          <w:tcPr>
            <w:tcW w:w="6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4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4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4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4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0 </w:t>
            </w:r>
          </w:p>
        </w:tc>
        <w:tc>
          <w:tcPr>
            <w:tcW w:w="64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4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0</w:t>
            </w:r>
          </w:p>
        </w:tc>
        <w:tc>
          <w:tcPr>
            <w:tcW w:w="64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rPr>
            </w:pPr>
            <w:r>
              <w:rPr>
                <w:rFonts w:hint="eastAsia" w:ascii="仿宋_GB2312" w:hAnsi="仿宋_GB2312" w:eastAsia="仿宋_GB2312" w:cs="仿宋_GB2312"/>
                <w:kern w:val="0"/>
                <w:sz w:val="20"/>
                <w:szCs w:val="20"/>
                <w:lang w:bidi="ar"/>
              </w:rPr>
              <w:t> 0</w:t>
            </w:r>
          </w:p>
        </w:tc>
        <w:tc>
          <w:tcPr>
            <w:tcW w:w="64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eastAsia" w:ascii="仿宋_GB2312" w:hAnsi="仿宋_GB2312" w:eastAsia="仿宋_GB2312" w:cs="仿宋_GB2312"/>
                <w:szCs w:val="21"/>
              </w:rPr>
            </w:pPr>
            <w:r>
              <w:rPr>
                <w:rFonts w:hint="eastAsia" w:ascii="仿宋_GB2312" w:hAnsi="仿宋_GB2312" w:eastAsia="仿宋_GB2312" w:cs="仿宋_GB2312"/>
                <w:kern w:val="0"/>
                <w:sz w:val="20"/>
                <w:szCs w:val="20"/>
                <w:lang w:bidi="ar"/>
              </w:rPr>
              <w:t> 0</w:t>
            </w:r>
          </w:p>
        </w:tc>
      </w:tr>
    </w:tbl>
    <w:p>
      <w:pPr>
        <w:ind w:firstLine="632" w:firstLineChars="200"/>
        <w:rPr>
          <w:rFonts w:hint="eastAsia" w:ascii="仿宋_GB2312" w:hAnsi="仿宋_GB2312" w:eastAsia="仿宋_GB2312" w:cs="仿宋_GB2312"/>
          <w:bCs/>
          <w:szCs w:val="32"/>
        </w:rPr>
      </w:pPr>
      <w:bookmarkStart w:id="0" w:name="_GoBack"/>
      <w:bookmarkEnd w:id="0"/>
      <w:r>
        <w:rPr>
          <w:rFonts w:hint="eastAsia" w:ascii="仿宋_GB2312" w:hAnsi="仿宋_GB2312" w:eastAsia="仿宋_GB2312" w:cs="仿宋_GB2312"/>
          <w:bCs/>
          <w:szCs w:val="32"/>
        </w:rPr>
        <w:t>五、存在的主要问题及改进情况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600" w:lineRule="atLeast"/>
        <w:ind w:left="0" w:right="0" w:firstLine="643"/>
        <w:jc w:val="both"/>
        <w:rPr>
          <w:rFonts w:hint="eastAsia" w:ascii="仿宋_GB2312" w:hAnsi="仿宋_GB2312" w:eastAsia="仿宋_GB2312" w:cs="仿宋_GB2312"/>
          <w:i w:val="0"/>
          <w:iCs w:val="0"/>
          <w:caps w:val="0"/>
          <w:color w:val="333333"/>
          <w:spacing w:val="0"/>
          <w:sz w:val="31"/>
          <w:szCs w:val="31"/>
          <w:shd w:val="clear" w:fill="FFFFFF"/>
          <w:lang w:val="en-US" w:eastAsia="zh-CN"/>
        </w:rPr>
      </w:pPr>
      <w:r>
        <w:rPr>
          <w:rFonts w:hint="eastAsia" w:ascii="仿宋_GB2312" w:hAnsi="仿宋_GB2312" w:eastAsia="仿宋_GB2312" w:cs="仿宋_GB2312"/>
          <w:i w:val="0"/>
          <w:iCs w:val="0"/>
          <w:caps w:val="0"/>
          <w:color w:val="333333"/>
          <w:spacing w:val="0"/>
          <w:sz w:val="31"/>
          <w:szCs w:val="31"/>
          <w:shd w:val="clear" w:fill="FFFFFF"/>
        </w:rPr>
        <w:t>202</w:t>
      </w:r>
      <w:r>
        <w:rPr>
          <w:rFonts w:hint="eastAsia" w:ascii="仿宋_GB2312" w:hAnsi="仿宋_GB2312" w:eastAsia="仿宋_GB2312" w:cs="仿宋_GB2312"/>
          <w:i w:val="0"/>
          <w:iCs w:val="0"/>
          <w:caps w:val="0"/>
          <w:color w:val="333333"/>
          <w:spacing w:val="0"/>
          <w:sz w:val="31"/>
          <w:szCs w:val="31"/>
          <w:shd w:val="clear" w:fill="FFFFFF"/>
          <w:lang w:val="en-US" w:eastAsia="zh-CN"/>
        </w:rPr>
        <w:t>2</w:t>
      </w:r>
      <w:r>
        <w:rPr>
          <w:rFonts w:hint="eastAsia" w:ascii="仿宋_GB2312" w:hAnsi="仿宋_GB2312" w:eastAsia="仿宋_GB2312" w:cs="仿宋_GB2312"/>
          <w:i w:val="0"/>
          <w:iCs w:val="0"/>
          <w:caps w:val="0"/>
          <w:color w:val="333333"/>
          <w:spacing w:val="0"/>
          <w:sz w:val="31"/>
          <w:szCs w:val="31"/>
          <w:shd w:val="clear" w:fill="FFFFFF"/>
        </w:rPr>
        <w:t>年，</w:t>
      </w:r>
      <w:r>
        <w:rPr>
          <w:rFonts w:hint="eastAsia" w:ascii="仿宋_GB2312" w:hAnsi="仿宋_GB2312" w:eastAsia="仿宋_GB2312" w:cs="仿宋_GB2312"/>
          <w:i w:val="0"/>
          <w:iCs w:val="0"/>
          <w:caps w:val="0"/>
          <w:color w:val="333333"/>
          <w:spacing w:val="0"/>
          <w:sz w:val="31"/>
          <w:szCs w:val="31"/>
          <w:shd w:val="clear" w:fill="FFFFFF"/>
          <w:lang w:val="en-US" w:eastAsia="zh-CN"/>
        </w:rPr>
        <w:t>胶州市发展和改革局</w:t>
      </w:r>
      <w:r>
        <w:rPr>
          <w:rFonts w:hint="eastAsia" w:ascii="仿宋_GB2312" w:hAnsi="仿宋_GB2312" w:eastAsia="仿宋_GB2312" w:cs="仿宋_GB2312"/>
          <w:i w:val="0"/>
          <w:iCs w:val="0"/>
          <w:caps w:val="0"/>
          <w:color w:val="333333"/>
          <w:spacing w:val="0"/>
          <w:sz w:val="31"/>
          <w:szCs w:val="31"/>
          <w:shd w:val="clear" w:fill="FFFFFF"/>
        </w:rPr>
        <w:t>政府信息公开工作取得了一定的成绩，但与企业和群众要求相比仍然存在一些不足，主要体现在：</w:t>
      </w:r>
      <w:r>
        <w:rPr>
          <w:rFonts w:hint="eastAsia" w:ascii="仿宋_GB2312" w:hAnsi="仿宋_GB2312" w:eastAsia="仿宋_GB2312" w:cs="仿宋_GB2312"/>
          <w:i w:val="0"/>
          <w:iCs w:val="0"/>
          <w:caps w:val="0"/>
          <w:color w:val="333333"/>
          <w:spacing w:val="0"/>
          <w:sz w:val="31"/>
          <w:szCs w:val="31"/>
          <w:shd w:val="clear" w:fill="FFFFFF"/>
          <w:lang w:val="en-US" w:eastAsia="zh-CN"/>
        </w:rPr>
        <w:t xml:space="preserve">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600" w:lineRule="atLeast"/>
        <w:ind w:right="0"/>
        <w:jc w:val="both"/>
        <w:rPr>
          <w:rFonts w:hint="eastAsia" w:ascii="仿宋_GB2312" w:hAnsi="仿宋_GB2312" w:eastAsia="仿宋_GB2312" w:cs="仿宋_GB2312"/>
          <w:i w:val="0"/>
          <w:iCs w:val="0"/>
          <w:caps w:val="0"/>
          <w:color w:val="333333"/>
          <w:spacing w:val="0"/>
          <w:sz w:val="31"/>
          <w:szCs w:val="31"/>
          <w:shd w:val="clear" w:fill="FFFFFF"/>
          <w:lang w:val="en-US" w:eastAsia="zh-CN"/>
        </w:rPr>
      </w:pPr>
      <w:r>
        <w:rPr>
          <w:rFonts w:hint="eastAsia" w:ascii="仿宋_GB2312" w:hAnsi="仿宋_GB2312" w:eastAsia="仿宋_GB2312" w:cs="仿宋_GB2312"/>
          <w:i w:val="0"/>
          <w:iCs w:val="0"/>
          <w:caps w:val="0"/>
          <w:color w:val="333333"/>
          <w:spacing w:val="0"/>
          <w:sz w:val="31"/>
          <w:szCs w:val="31"/>
          <w:shd w:val="clear" w:fill="FFFFFF"/>
          <w:lang w:val="en-US" w:eastAsia="zh-CN"/>
        </w:rPr>
        <w:t>一是主动公开政务信息不够丰富，形式单一；二是在公开实效、更新频率等方面还有待进一步加强；三是在强化网上热点问题舆论引导方面还有提升的空间。</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600" w:lineRule="atLeast"/>
        <w:ind w:left="0" w:right="0" w:firstLine="643"/>
        <w:jc w:val="both"/>
        <w:rPr>
          <w:rFonts w:hint="eastAsia" w:ascii="仿宋_GB2312" w:hAnsi="仿宋_GB2312" w:eastAsia="仿宋_GB2312" w:cs="仿宋_GB2312"/>
          <w:i w:val="0"/>
          <w:iCs w:val="0"/>
          <w:caps w:val="0"/>
          <w:color w:val="333333"/>
          <w:spacing w:val="0"/>
          <w:sz w:val="31"/>
          <w:szCs w:val="31"/>
          <w:shd w:val="clear" w:fill="FFFFFF"/>
          <w:lang w:val="en-US" w:eastAsia="zh-CN"/>
        </w:rPr>
      </w:pPr>
      <w:r>
        <w:rPr>
          <w:rFonts w:hint="eastAsia" w:ascii="仿宋_GB2312" w:hAnsi="仿宋_GB2312" w:eastAsia="仿宋_GB2312" w:cs="仿宋_GB2312"/>
          <w:i w:val="0"/>
          <w:iCs w:val="0"/>
          <w:caps w:val="0"/>
          <w:color w:val="333333"/>
          <w:spacing w:val="0"/>
          <w:sz w:val="31"/>
          <w:szCs w:val="31"/>
          <w:shd w:val="clear" w:fill="FFFFFF"/>
          <w:lang w:val="en-US" w:eastAsia="zh-CN"/>
        </w:rPr>
        <w:t>下步，一是继续深化政府信息公开。加强考核监督，建立健全科学、合理、有效的量化评估指标体系。将政府信息公开、政策解读、回应关切、媒体参与等方面情况作为政务公开的重要内容纳入内部绩效考核体系。对违反政务公开有关规定、不履行公开义务或公开不应当公开事项，造成严重影响的，依法依规严肃追究责任。二是丰富信息公开形式，通过访谈、数字化、图表图解等不同方式进一步提高信息公开质量。并充分利用新闻媒体多元化宣传渠道，正确引导社会舆论导向，开展政务信息公开宣传工作，形成推进政府信息公开的合力。三是定期对政府信息公开工作进行自查，及时整改落实，实现信息公开的制度化、规范化、常态化。四是加强政务公开业务培训，通过组织开展培训会等方式学习《政府信息公开条例》，切实提高各科室主动公开的积极性。</w:t>
      </w:r>
    </w:p>
    <w:p>
      <w:pPr>
        <w:ind w:firstLine="632" w:firstLineChars="200"/>
        <w:rPr>
          <w:rFonts w:hint="eastAsia" w:ascii="仿宋_GB2312" w:hAnsi="仿宋_GB2312" w:eastAsia="仿宋_GB2312" w:cs="仿宋_GB2312"/>
          <w:bCs/>
          <w:szCs w:val="32"/>
          <w:lang w:val="en-US" w:eastAsia="zh-CN"/>
        </w:rPr>
      </w:pPr>
      <w:r>
        <w:rPr>
          <w:rFonts w:hint="eastAsia" w:ascii="仿宋_GB2312" w:hAnsi="仿宋_GB2312" w:eastAsia="仿宋_GB2312" w:cs="仿宋_GB2312"/>
          <w:bCs/>
          <w:szCs w:val="32"/>
          <w:lang w:val="en-US" w:eastAsia="zh-CN"/>
        </w:rPr>
        <w:t>六、其他需要报告的事项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600" w:lineRule="atLeast"/>
        <w:ind w:left="0" w:right="0" w:firstLine="643"/>
        <w:jc w:val="both"/>
        <w:rPr>
          <w:rFonts w:hint="eastAsia" w:ascii="仿宋_GB2312" w:hAnsi="仿宋_GB2312" w:eastAsia="仿宋_GB2312" w:cs="仿宋_GB2312"/>
          <w:szCs w:val="32"/>
          <w:lang w:val="en-US" w:eastAsia="zh-CN"/>
        </w:rPr>
      </w:pPr>
      <w:r>
        <w:rPr>
          <w:rFonts w:hint="eastAsia" w:ascii="仿宋_GB2312" w:hAnsi="仿宋_GB2312" w:eastAsia="仿宋_GB2312" w:cs="仿宋_GB2312"/>
          <w:szCs w:val="32"/>
          <w:lang w:val="en-US" w:eastAsia="zh-CN"/>
        </w:rPr>
        <w:t>（一）政府信息公开信息处理费收取情况</w:t>
      </w:r>
    </w:p>
    <w:p>
      <w:pPr>
        <w:keepNext w:val="0"/>
        <w:keepLines w:val="0"/>
        <w:widowControl w:val="0"/>
        <w:suppressLineNumbers w:val="0"/>
        <w:spacing w:before="0" w:beforeAutospacing="0" w:after="0" w:afterAutospacing="0"/>
        <w:ind w:left="0" w:right="0" w:firstLine="948" w:firstLineChars="300"/>
        <w:jc w:val="both"/>
        <w:rPr>
          <w:rFonts w:hint="eastAsia" w:ascii="仿宋_GB2312" w:hAnsi="仿宋_GB2312" w:eastAsia="仿宋_GB2312" w:cs="仿宋_GB2312"/>
          <w:lang w:val="en-US"/>
        </w:rPr>
      </w:pPr>
      <w:r>
        <w:rPr>
          <w:rFonts w:hint="eastAsia" w:ascii="仿宋_GB2312" w:hAnsi="仿宋_GB2312" w:eastAsia="仿宋_GB2312" w:cs="仿宋_GB2312"/>
          <w:kern w:val="2"/>
          <w:sz w:val="32"/>
          <w:szCs w:val="22"/>
          <w:lang w:val="en-US" w:eastAsia="zh-CN" w:bidi="ar"/>
        </w:rPr>
        <w:t>本年度未收取信息处理费。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600" w:lineRule="atLeast"/>
        <w:ind w:left="0" w:right="0" w:firstLine="643"/>
        <w:jc w:val="both"/>
        <w:rPr>
          <w:rFonts w:hint="eastAsia" w:ascii="仿宋_GB2312" w:hAnsi="仿宋_GB2312" w:eastAsia="仿宋_GB2312" w:cs="仿宋_GB2312"/>
          <w:szCs w:val="32"/>
          <w:lang w:val="en-US" w:eastAsia="zh-CN"/>
        </w:rPr>
      </w:pPr>
      <w:r>
        <w:rPr>
          <w:rFonts w:hint="eastAsia" w:ascii="仿宋_GB2312" w:hAnsi="仿宋_GB2312" w:eastAsia="仿宋_GB2312" w:cs="仿宋_GB2312"/>
          <w:szCs w:val="32"/>
          <w:lang w:val="en-US" w:eastAsia="zh-CN"/>
        </w:rPr>
        <w:t>（二）人大代表建议和政协提案办理结果公开情况</w:t>
      </w:r>
    </w:p>
    <w:p>
      <w:pPr>
        <w:keepNext w:val="0"/>
        <w:keepLines w:val="0"/>
        <w:widowControl w:val="0"/>
        <w:suppressLineNumbers w:val="0"/>
        <w:spacing w:before="0" w:beforeAutospacing="0" w:after="0" w:afterAutospacing="0"/>
        <w:ind w:left="0" w:right="0" w:firstLine="632" w:firstLineChars="200"/>
        <w:jc w:val="both"/>
        <w:rPr>
          <w:rFonts w:hint="eastAsia" w:ascii="仿宋_GB2312" w:hAnsi="仿宋_GB2312" w:eastAsia="仿宋_GB2312" w:cs="仿宋_GB2312"/>
          <w:kern w:val="2"/>
          <w:sz w:val="32"/>
          <w:szCs w:val="22"/>
          <w:lang w:val="en-US" w:eastAsia="zh-CN" w:bidi="ar"/>
        </w:rPr>
      </w:pPr>
      <w:r>
        <w:rPr>
          <w:rFonts w:hint="eastAsia" w:ascii="仿宋_GB2312" w:hAnsi="仿宋_GB2312" w:eastAsia="仿宋_GB2312" w:cs="仿宋_GB2312"/>
          <w:kern w:val="2"/>
          <w:sz w:val="32"/>
          <w:szCs w:val="22"/>
          <w:lang w:val="en-US" w:eastAsia="zh-CN" w:bidi="ar"/>
        </w:rPr>
        <w:t>2022年，市发改局共承办人大代表建议4件、政协委员提案5件。</w:t>
      </w:r>
    </w:p>
    <w:p>
      <w:pPr>
        <w:keepNext w:val="0"/>
        <w:keepLines w:val="0"/>
        <w:widowControl w:val="0"/>
        <w:suppressLineNumbers w:val="0"/>
        <w:spacing w:before="0" w:beforeAutospacing="0" w:after="0" w:afterAutospacing="0"/>
        <w:ind w:left="0" w:right="0" w:firstLine="632" w:firstLineChars="200"/>
        <w:jc w:val="both"/>
        <w:rPr>
          <w:rFonts w:hint="eastAsia" w:ascii="仿宋_GB2312" w:hAnsi="仿宋_GB2312" w:cs="仿宋_GB2312"/>
          <w:kern w:val="2"/>
          <w:sz w:val="32"/>
          <w:szCs w:val="22"/>
          <w:lang w:val="en-US" w:eastAsia="zh-CN" w:bidi="ar"/>
        </w:rPr>
      </w:pPr>
      <w:r>
        <w:rPr>
          <w:rFonts w:hint="eastAsia" w:ascii="仿宋_GB2312" w:hAnsi="仿宋_GB2312" w:cs="仿宋_GB2312"/>
          <w:kern w:val="2"/>
          <w:sz w:val="32"/>
          <w:szCs w:val="22"/>
          <w:lang w:val="en-US" w:eastAsia="zh-CN" w:bidi="ar"/>
        </w:rPr>
        <w:t>（三）落实2022年省、市两级政务公开工作要点情况</w:t>
      </w:r>
    </w:p>
    <w:p>
      <w:pPr>
        <w:keepNext w:val="0"/>
        <w:keepLines w:val="0"/>
        <w:widowControl w:val="0"/>
        <w:suppressLineNumbers w:val="0"/>
        <w:spacing w:before="0" w:beforeAutospacing="0" w:after="0" w:afterAutospacing="0"/>
        <w:ind w:left="0" w:right="0" w:firstLine="632" w:firstLineChars="200"/>
        <w:jc w:val="both"/>
        <w:rPr>
          <w:rFonts w:hint="default" w:ascii="仿宋_GB2312" w:hAnsi="仿宋_GB2312" w:cs="仿宋_GB2312"/>
          <w:kern w:val="2"/>
          <w:sz w:val="32"/>
          <w:szCs w:val="22"/>
          <w:lang w:val="en-US" w:eastAsia="zh-CN" w:bidi="ar"/>
        </w:rPr>
      </w:pPr>
      <w:r>
        <w:rPr>
          <w:rFonts w:hint="default" w:ascii="仿宋_GB2312" w:hAnsi="仿宋_GB2312" w:cs="仿宋_GB2312"/>
          <w:kern w:val="2"/>
          <w:sz w:val="32"/>
          <w:szCs w:val="22"/>
          <w:lang w:val="en-US" w:eastAsia="zh-CN" w:bidi="ar"/>
        </w:rPr>
        <w:t>根据</w:t>
      </w:r>
      <w:r>
        <w:rPr>
          <w:rFonts w:hint="eastAsia" w:ascii="仿宋_GB2312" w:hAnsi="仿宋_GB2312" w:cs="仿宋_GB2312"/>
          <w:kern w:val="2"/>
          <w:sz w:val="32"/>
          <w:szCs w:val="22"/>
          <w:lang w:val="en-US" w:eastAsia="zh-CN" w:bidi="ar"/>
        </w:rPr>
        <w:t>2022年山东省、青岛市、胶州市政务公开工作要点文件精神，结合</w:t>
      </w:r>
      <w:r>
        <w:rPr>
          <w:rFonts w:hint="default" w:ascii="仿宋_GB2312" w:hAnsi="仿宋_GB2312" w:cs="仿宋_GB2312"/>
          <w:kern w:val="2"/>
          <w:sz w:val="32"/>
          <w:szCs w:val="22"/>
          <w:lang w:val="en-US" w:eastAsia="zh-CN" w:bidi="ar"/>
        </w:rPr>
        <w:t>胶州市发展和改革局政务公开工作需要，制定《胶州市发展和改革局2023年政务公开工作实施方案》</w:t>
      </w:r>
      <w:r>
        <w:rPr>
          <w:rFonts w:hint="eastAsia" w:ascii="仿宋_GB2312" w:hAnsi="仿宋_GB2312" w:cs="仿宋_GB2312"/>
          <w:kern w:val="2"/>
          <w:sz w:val="32"/>
          <w:szCs w:val="22"/>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600" w:lineRule="atLeast"/>
        <w:ind w:left="0" w:right="0" w:firstLine="643"/>
        <w:jc w:val="both"/>
        <w:rPr>
          <w:rFonts w:hint="eastAsia" w:ascii="仿宋_GB2312" w:hAnsi="仿宋_GB2312" w:eastAsia="仿宋_GB2312" w:cs="仿宋_GB2312"/>
          <w:szCs w:val="32"/>
          <w:lang w:val="en-US" w:eastAsia="zh-CN"/>
        </w:rPr>
      </w:pPr>
      <w:r>
        <w:rPr>
          <w:rFonts w:hint="eastAsia" w:ascii="仿宋_GB2312" w:hAnsi="仿宋_GB2312" w:eastAsia="仿宋_GB2312" w:cs="仿宋_GB2312"/>
          <w:szCs w:val="32"/>
          <w:lang w:val="en-US" w:eastAsia="zh-CN"/>
        </w:rPr>
        <w:t>（</w:t>
      </w:r>
      <w:r>
        <w:rPr>
          <w:rFonts w:hint="eastAsia" w:ascii="仿宋_GB2312" w:hAnsi="仿宋_GB2312" w:cs="仿宋_GB2312"/>
          <w:szCs w:val="32"/>
          <w:lang w:val="en-US" w:eastAsia="zh-CN"/>
        </w:rPr>
        <w:t>四</w:t>
      </w:r>
      <w:r>
        <w:rPr>
          <w:rFonts w:hint="eastAsia" w:ascii="仿宋_GB2312" w:hAnsi="仿宋_GB2312" w:eastAsia="仿宋_GB2312" w:cs="仿宋_GB2312"/>
          <w:szCs w:val="32"/>
          <w:lang w:val="en-US" w:eastAsia="zh-CN"/>
        </w:rPr>
        <w:t>）年度政务公开工作创新情况</w:t>
      </w:r>
    </w:p>
    <w:p>
      <w:pPr>
        <w:keepNext w:val="0"/>
        <w:keepLines w:val="0"/>
        <w:widowControl w:val="0"/>
        <w:suppressLineNumbers w:val="0"/>
        <w:spacing w:before="0" w:beforeAutospacing="0" w:after="0" w:afterAutospacing="0"/>
        <w:ind w:left="0" w:right="0" w:firstLine="632" w:firstLineChars="200"/>
        <w:jc w:val="both"/>
        <w:rPr>
          <w:rFonts w:hint="eastAsia" w:ascii="仿宋_GB2312" w:hAnsi="仿宋_GB2312" w:eastAsia="仿宋_GB2312" w:cs="仿宋_GB2312"/>
          <w:lang w:val="en-US"/>
        </w:rPr>
      </w:pPr>
      <w:r>
        <w:rPr>
          <w:rFonts w:hint="eastAsia" w:ascii="仿宋_GB2312" w:hAnsi="仿宋_GB2312" w:eastAsia="仿宋_GB2312" w:cs="仿宋_GB2312"/>
          <w:kern w:val="2"/>
          <w:sz w:val="32"/>
          <w:szCs w:val="22"/>
          <w:lang w:val="en-US" w:eastAsia="zh-CN" w:bidi="ar"/>
        </w:rPr>
        <w:t>2022年我局积极拓宽宣传途径，多篇信息在“中国改革报”、“中国工业新闻网”报刊、“半岛都市报”、“金胶州”发表。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600" w:lineRule="atLeast"/>
        <w:ind w:left="0" w:right="0" w:firstLine="643"/>
        <w:jc w:val="both"/>
        <w:rPr>
          <w:rFonts w:hint="eastAsia" w:ascii="仿宋_GB2312" w:hAnsi="仿宋_GB2312" w:eastAsia="仿宋_GB2312" w:cs="仿宋_GB2312"/>
          <w:szCs w:val="32"/>
          <w:lang w:val="en-US" w:eastAsia="zh-CN"/>
        </w:rPr>
      </w:pPr>
      <w:r>
        <w:rPr>
          <w:rFonts w:hint="eastAsia" w:ascii="仿宋_GB2312" w:hAnsi="仿宋_GB2312" w:eastAsia="仿宋_GB2312" w:cs="仿宋_GB2312"/>
          <w:szCs w:val="32"/>
          <w:lang w:val="en-US" w:eastAsia="zh-CN"/>
        </w:rPr>
        <w:t>（</w:t>
      </w:r>
      <w:r>
        <w:rPr>
          <w:rFonts w:hint="eastAsia" w:ascii="仿宋_GB2312" w:hAnsi="仿宋_GB2312" w:cs="仿宋_GB2312"/>
          <w:szCs w:val="32"/>
          <w:lang w:val="en-US" w:eastAsia="zh-CN"/>
        </w:rPr>
        <w:t>五</w:t>
      </w:r>
      <w:r>
        <w:rPr>
          <w:rFonts w:hint="eastAsia" w:ascii="仿宋_GB2312" w:hAnsi="仿宋_GB2312" w:eastAsia="仿宋_GB2312" w:cs="仿宋_GB2312"/>
          <w:szCs w:val="32"/>
          <w:lang w:val="en-US" w:eastAsia="zh-CN"/>
        </w:rPr>
        <w:t>）政府信息公开工作年度报告数据统计需要说明的事</w:t>
      </w:r>
    </w:p>
    <w:p>
      <w:pPr>
        <w:keepNext w:val="0"/>
        <w:keepLines w:val="0"/>
        <w:widowControl w:val="0"/>
        <w:suppressLineNumbers w:val="0"/>
        <w:spacing w:before="0" w:beforeAutospacing="0" w:after="0" w:afterAutospacing="0"/>
        <w:ind w:left="0" w:right="0" w:firstLine="632" w:firstLineChars="200"/>
        <w:jc w:val="both"/>
        <w:rPr>
          <w:rFonts w:hint="eastAsia" w:ascii="仿宋_GB2312" w:hAnsi="仿宋_GB2312" w:eastAsia="仿宋_GB2312" w:cs="仿宋_GB2312"/>
          <w:lang w:val="en-US"/>
        </w:rPr>
      </w:pPr>
      <w:r>
        <w:rPr>
          <w:rFonts w:hint="eastAsia" w:ascii="仿宋_GB2312" w:hAnsi="仿宋_GB2312" w:eastAsia="仿宋_GB2312" w:cs="仿宋_GB2312"/>
          <w:kern w:val="2"/>
          <w:sz w:val="32"/>
          <w:szCs w:val="22"/>
          <w:lang w:val="en-US" w:eastAsia="zh-CN" w:bidi="ar"/>
        </w:rPr>
        <w:t>本年度报告中所列数据的统计期限自2022年1月1日至2022年12月31日。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600" w:lineRule="atLeast"/>
        <w:ind w:left="0" w:right="0" w:firstLine="643"/>
        <w:jc w:val="both"/>
        <w:rPr>
          <w:rFonts w:hint="eastAsia" w:ascii="仿宋_GB2312" w:hAnsi="仿宋_GB2312" w:eastAsia="仿宋_GB2312" w:cs="仿宋_GB2312"/>
          <w:szCs w:val="32"/>
          <w:lang w:val="en-US" w:eastAsia="zh-CN"/>
        </w:rPr>
      </w:pPr>
      <w:r>
        <w:rPr>
          <w:rFonts w:hint="eastAsia" w:ascii="仿宋_GB2312" w:hAnsi="仿宋_GB2312" w:eastAsia="仿宋_GB2312" w:cs="仿宋_GB2312"/>
          <w:szCs w:val="32"/>
          <w:lang w:val="en-US" w:eastAsia="zh-CN"/>
        </w:rPr>
        <w:t>（</w:t>
      </w:r>
      <w:r>
        <w:rPr>
          <w:rFonts w:hint="eastAsia" w:ascii="仿宋_GB2312" w:hAnsi="仿宋_GB2312" w:cs="仿宋_GB2312"/>
          <w:szCs w:val="32"/>
          <w:lang w:val="en-US" w:eastAsia="zh-CN"/>
        </w:rPr>
        <w:t>六</w:t>
      </w:r>
      <w:r>
        <w:rPr>
          <w:rFonts w:hint="eastAsia" w:ascii="仿宋_GB2312" w:hAnsi="仿宋_GB2312" w:eastAsia="仿宋_GB2312" w:cs="仿宋_GB2312"/>
          <w:szCs w:val="32"/>
          <w:lang w:val="en-US" w:eastAsia="zh-CN"/>
        </w:rPr>
        <w:t>）无其他需要报告的事项。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600" w:lineRule="atLeast"/>
        <w:ind w:left="0" w:right="0" w:firstLine="643"/>
        <w:jc w:val="both"/>
        <w:rPr>
          <w:rFonts w:hint="eastAsia" w:ascii="仿宋_GB2312" w:hAnsi="微软雅黑" w:cs="仿宋_GB2312"/>
          <w:i w:val="0"/>
          <w:iCs w:val="0"/>
          <w:caps w:val="0"/>
          <w:color w:val="333333"/>
          <w:spacing w:val="0"/>
          <w:sz w:val="31"/>
          <w:szCs w:val="31"/>
          <w:shd w:val="clear" w:fill="FFFFFF"/>
          <w:lang w:val="en-US" w:eastAsia="zh-CN"/>
        </w:rPr>
      </w:pPr>
    </w:p>
    <w:sectPr>
      <w:footerReference r:id="rId3" w:type="default"/>
      <w:pgSz w:w="11906" w:h="16838"/>
      <w:pgMar w:top="2098" w:right="1474" w:bottom="1985" w:left="1588" w:header="851" w:footer="1531" w:gutter="0"/>
      <w:pgNumType w:fmt="numberInDash"/>
      <w:cols w:space="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cs="Times New Roman"/>
                              <w:sz w:val="30"/>
                              <w:szCs w:val="30"/>
                            </w:rPr>
                          </w:pPr>
                          <w:r>
                            <w:rPr>
                              <w:rFonts w:cs="Times New Roman"/>
                              <w:sz w:val="30"/>
                              <w:szCs w:val="30"/>
                            </w:rPr>
                            <w:fldChar w:fldCharType="begin"/>
                          </w:r>
                          <w:r>
                            <w:rPr>
                              <w:rFonts w:cs="Times New Roman"/>
                              <w:sz w:val="30"/>
                              <w:szCs w:val="30"/>
                            </w:rPr>
                            <w:instrText xml:space="preserve"> PAGE  \* MERGEFORMAT </w:instrText>
                          </w:r>
                          <w:r>
                            <w:rPr>
                              <w:rFonts w:cs="Times New Roman"/>
                              <w:sz w:val="30"/>
                              <w:szCs w:val="30"/>
                            </w:rPr>
                            <w:fldChar w:fldCharType="separate"/>
                          </w:r>
                          <w:r>
                            <w:rPr>
                              <w:rFonts w:cs="Times New Roman"/>
                              <w:sz w:val="30"/>
                              <w:szCs w:val="30"/>
                            </w:rPr>
                            <w:t>- 1 -</w:t>
                          </w:r>
                          <w:r>
                            <w:rPr>
                              <w:rFonts w:cs="Times New Roman"/>
                              <w:sz w:val="30"/>
                              <w:szCs w:val="30"/>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5"/>
                      <w:rPr>
                        <w:rFonts w:cs="Times New Roman"/>
                        <w:sz w:val="30"/>
                        <w:szCs w:val="30"/>
                      </w:rPr>
                    </w:pPr>
                    <w:r>
                      <w:rPr>
                        <w:rFonts w:cs="Times New Roman"/>
                        <w:sz w:val="30"/>
                        <w:szCs w:val="30"/>
                      </w:rPr>
                      <w:fldChar w:fldCharType="begin"/>
                    </w:r>
                    <w:r>
                      <w:rPr>
                        <w:rFonts w:cs="Times New Roman"/>
                        <w:sz w:val="30"/>
                        <w:szCs w:val="30"/>
                      </w:rPr>
                      <w:instrText xml:space="preserve"> PAGE  \* MERGEFORMAT </w:instrText>
                    </w:r>
                    <w:r>
                      <w:rPr>
                        <w:rFonts w:cs="Times New Roman"/>
                        <w:sz w:val="30"/>
                        <w:szCs w:val="30"/>
                      </w:rPr>
                      <w:fldChar w:fldCharType="separate"/>
                    </w:r>
                    <w:r>
                      <w:rPr>
                        <w:rFonts w:cs="Times New Roman"/>
                        <w:sz w:val="30"/>
                        <w:szCs w:val="30"/>
                      </w:rPr>
                      <w:t>- 1 -</w:t>
                    </w:r>
                    <w:r>
                      <w:rPr>
                        <w:rFonts w:cs="Times New Roman"/>
                        <w:sz w:val="30"/>
                        <w:szCs w:val="30"/>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8"/>
  <w:embedSystemFonts/>
  <w:bordersDoNotSurroundHeader w:val="0"/>
  <w:bordersDoNotSurroundFooter w:val="0"/>
  <w:documentProtection w:enforcement="0"/>
  <w:defaultTabStop w:val="420"/>
  <w:drawingGridHorizontalSpacing w:val="158"/>
  <w:drawingGridVerticalSpacing w:val="57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NkMmYzYjMwZmFkMWIzOTFhYmY0NTQ1YTg0ZWFmZGMifQ=="/>
  </w:docVars>
  <w:rsids>
    <w:rsidRoot w:val="7FD565EC"/>
    <w:rsid w:val="00023D0F"/>
    <w:rsid w:val="0009020E"/>
    <w:rsid w:val="00206636"/>
    <w:rsid w:val="00270754"/>
    <w:rsid w:val="002904E4"/>
    <w:rsid w:val="002C594D"/>
    <w:rsid w:val="002E06CD"/>
    <w:rsid w:val="00343269"/>
    <w:rsid w:val="003B65BA"/>
    <w:rsid w:val="00432595"/>
    <w:rsid w:val="00641860"/>
    <w:rsid w:val="00701927"/>
    <w:rsid w:val="007248A9"/>
    <w:rsid w:val="007A1165"/>
    <w:rsid w:val="007A7612"/>
    <w:rsid w:val="0084025C"/>
    <w:rsid w:val="009E7EDF"/>
    <w:rsid w:val="00B32C85"/>
    <w:rsid w:val="00B44C25"/>
    <w:rsid w:val="00C11535"/>
    <w:rsid w:val="00CD495B"/>
    <w:rsid w:val="00E92922"/>
    <w:rsid w:val="00F65641"/>
    <w:rsid w:val="00F72B30"/>
    <w:rsid w:val="01B938F9"/>
    <w:rsid w:val="069A6F06"/>
    <w:rsid w:val="097072E9"/>
    <w:rsid w:val="0AD6392F"/>
    <w:rsid w:val="0C8A3389"/>
    <w:rsid w:val="0FE10DAC"/>
    <w:rsid w:val="1B964F25"/>
    <w:rsid w:val="1F5322C3"/>
    <w:rsid w:val="20611C98"/>
    <w:rsid w:val="25CA47BA"/>
    <w:rsid w:val="2AC57722"/>
    <w:rsid w:val="2C561894"/>
    <w:rsid w:val="2DB11966"/>
    <w:rsid w:val="2E024A76"/>
    <w:rsid w:val="2E133F49"/>
    <w:rsid w:val="31F24DBC"/>
    <w:rsid w:val="366971BA"/>
    <w:rsid w:val="3F62467A"/>
    <w:rsid w:val="404F4B69"/>
    <w:rsid w:val="49643774"/>
    <w:rsid w:val="49F31F77"/>
    <w:rsid w:val="49FF7121"/>
    <w:rsid w:val="4DD450DA"/>
    <w:rsid w:val="5335336E"/>
    <w:rsid w:val="54161C73"/>
    <w:rsid w:val="57D615DC"/>
    <w:rsid w:val="5CFE1D79"/>
    <w:rsid w:val="5E114D05"/>
    <w:rsid w:val="68BF21EE"/>
    <w:rsid w:val="707E59FA"/>
    <w:rsid w:val="70FF26D6"/>
    <w:rsid w:val="74F32204"/>
    <w:rsid w:val="7F732C00"/>
    <w:rsid w:val="7FBA43A8"/>
    <w:rsid w:val="7FD565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heme="minorBidi"/>
      <w:kern w:val="2"/>
      <w:sz w:val="32"/>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0">
    <w:name w:val="Default Paragraph Font"/>
    <w:semiHidden/>
    <w:unhideWhenUsed/>
    <w:qFormat/>
    <w:uiPriority w:val="1"/>
  </w:style>
  <w:style w:type="table" w:default="1" w:styleId="8">
    <w:name w:val="Normal Table"/>
    <w:semiHidden/>
    <w:unhideWhenUsed/>
    <w:qFormat/>
    <w:uiPriority w:val="99"/>
    <w:pPr>
      <w:keepNext w:val="0"/>
      <w:keepLines w:val="0"/>
      <w:widowControl/>
      <w:suppressLineNumbers w:val="0"/>
      <w:spacing w:before="0" w:beforeAutospacing="0" w:after="0" w:afterAutospacing="0"/>
      <w:ind w:left="0" w:right="0"/>
    </w:pPr>
    <w:rPr>
      <w:rFonts w:hint="eastAsia" w:ascii="等线" w:hAnsi="等线" w:eastAsia="等线" w:cs="等线"/>
      <w:kern w:val="2"/>
      <w:sz w:val="21"/>
      <w:szCs w:val="22"/>
    </w:rPr>
    <w:tblPr>
      <w:tblCellMar>
        <w:top w:w="0" w:type="dxa"/>
        <w:left w:w="108" w:type="dxa"/>
        <w:bottom w:w="0" w:type="dxa"/>
        <w:right w:w="108" w:type="dxa"/>
      </w:tblCellMar>
    </w:tblPr>
  </w:style>
  <w:style w:type="paragraph" w:styleId="4">
    <w:name w:val="Body Text"/>
    <w:basedOn w:val="1"/>
    <w:link w:val="12"/>
    <w:qFormat/>
    <w:uiPriority w:val="1"/>
    <w:rPr>
      <w:rFonts w:ascii="仿宋_GB2312" w:hAnsi="仿宋_GB2312" w:cs="仿宋_GB2312"/>
      <w:szCs w:val="32"/>
      <w:lang w:val="zh-CN" w:bidi="zh-CN"/>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qFormat/>
    <w:uiPriority w:val="0"/>
    <w:pPr>
      <w:spacing w:beforeAutospacing="1" w:afterAutospacing="1"/>
      <w:jc w:val="left"/>
    </w:pPr>
    <w:rPr>
      <w:rFonts w:cs="Times New Roman"/>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customStyle="1" w:styleId="12">
    <w:name w:val="正文文本 字符"/>
    <w:basedOn w:val="10"/>
    <w:link w:val="4"/>
    <w:qFormat/>
    <w:uiPriority w:val="1"/>
    <w:rPr>
      <w:rFonts w:ascii="仿宋_GB2312" w:hAnsi="仿宋_GB2312" w:eastAsia="仿宋_GB2312" w:cs="仿宋_GB2312"/>
      <w:kern w:val="2"/>
      <w:sz w:val="32"/>
      <w:szCs w:val="32"/>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2701</Words>
  <Characters>2817</Characters>
  <Lines>20</Lines>
  <Paragraphs>5</Paragraphs>
  <TotalTime>44</TotalTime>
  <ScaleCrop>false</ScaleCrop>
  <LinksUpToDate>false</LinksUpToDate>
  <CharactersWithSpaces>2978</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2022-01-06T14:02:00Z</dcterms:created>
  <dc:creator>檀啸</dc:creator>
  <cp:lastModifiedBy>周欣慧</cp:lastModifiedBy>
  <dcterms:modified xsi:type="dcterms:W3CDTF">2023-02-21T07:43:33Z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2E1F3F347F44415BBBD434D9C7EF93CD</vt:lpwstr>
  </property>
</Properties>
</file>